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95" w:rsidRPr="00E32353" w:rsidRDefault="00CA6984" w:rsidP="00C76B95">
      <w:pPr>
        <w:spacing w:after="0"/>
        <w:ind w:firstLine="595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76B95" w:rsidRPr="00E32353">
        <w:rPr>
          <w:rFonts w:ascii="Times New Roman" w:hAnsi="Times New Roman" w:cs="Times New Roman"/>
          <w:b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sz w:val="24"/>
          <w:szCs w:val="24"/>
        </w:rPr>
        <w:t>ЕНО»</w:t>
      </w:r>
    </w:p>
    <w:p w:rsidR="00C76B95" w:rsidRPr="00E32353" w:rsidRDefault="00E32353" w:rsidP="00C76B95">
      <w:pPr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E32353">
        <w:rPr>
          <w:rFonts w:ascii="Times New Roman" w:hAnsi="Times New Roman" w:cs="Times New Roman"/>
          <w:sz w:val="24"/>
          <w:szCs w:val="24"/>
        </w:rPr>
        <w:t>И.о. Председателя</w:t>
      </w:r>
      <w:r w:rsidR="00C76B95" w:rsidRPr="00E32353">
        <w:rPr>
          <w:rFonts w:ascii="Times New Roman" w:hAnsi="Times New Roman" w:cs="Times New Roman"/>
          <w:sz w:val="24"/>
          <w:szCs w:val="24"/>
        </w:rPr>
        <w:t xml:space="preserve"> Правления</w:t>
      </w:r>
    </w:p>
    <w:p w:rsidR="00C76B95" w:rsidRPr="00E32353" w:rsidRDefault="00C76B95" w:rsidP="00C76B95">
      <w:pPr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E32353">
        <w:rPr>
          <w:rFonts w:ascii="Times New Roman" w:hAnsi="Times New Roman" w:cs="Times New Roman"/>
          <w:sz w:val="24"/>
          <w:szCs w:val="24"/>
        </w:rPr>
        <w:t>АКБ «Алмазэргиэнбанк» АО</w:t>
      </w:r>
    </w:p>
    <w:p w:rsidR="00C76B95" w:rsidRPr="00E32353" w:rsidRDefault="00E32353" w:rsidP="00C76B95">
      <w:pPr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E32353">
        <w:rPr>
          <w:rFonts w:ascii="Times New Roman" w:hAnsi="Times New Roman" w:cs="Times New Roman"/>
          <w:sz w:val="24"/>
          <w:szCs w:val="24"/>
        </w:rPr>
        <w:t>С.П. Платонова</w:t>
      </w:r>
    </w:p>
    <w:p w:rsidR="00CA6984" w:rsidRDefault="00CA6984" w:rsidP="00CA6984">
      <w:pPr>
        <w:spacing w:after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№226/1 </w:t>
      </w:r>
    </w:p>
    <w:p w:rsidR="00C76B95" w:rsidRPr="00E32353" w:rsidRDefault="00CA6984" w:rsidP="00CA6984">
      <w:pPr>
        <w:spacing w:after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E32353">
        <w:rPr>
          <w:rFonts w:ascii="Times New Roman" w:hAnsi="Times New Roman" w:cs="Times New Roman"/>
          <w:sz w:val="24"/>
          <w:szCs w:val="24"/>
        </w:rPr>
        <w:t xml:space="preserve"> </w:t>
      </w:r>
      <w:r w:rsidR="00C76B95" w:rsidRPr="00E32353">
        <w:rPr>
          <w:rFonts w:ascii="Times New Roman" w:hAnsi="Times New Roman" w:cs="Times New Roman"/>
          <w:sz w:val="24"/>
          <w:szCs w:val="24"/>
        </w:rPr>
        <w:t>«</w:t>
      </w:r>
      <w:r w:rsidR="00E32353" w:rsidRPr="00E32353">
        <w:rPr>
          <w:rFonts w:ascii="Times New Roman" w:hAnsi="Times New Roman" w:cs="Times New Roman"/>
          <w:sz w:val="24"/>
          <w:szCs w:val="24"/>
        </w:rPr>
        <w:t>0</w:t>
      </w:r>
      <w:r w:rsidR="009304FD">
        <w:rPr>
          <w:rFonts w:ascii="Times New Roman" w:hAnsi="Times New Roman" w:cs="Times New Roman"/>
          <w:sz w:val="24"/>
          <w:szCs w:val="24"/>
        </w:rPr>
        <w:t>2</w:t>
      </w:r>
      <w:r w:rsidR="00C76B95" w:rsidRPr="00E32353">
        <w:rPr>
          <w:rFonts w:ascii="Times New Roman" w:hAnsi="Times New Roman" w:cs="Times New Roman"/>
          <w:sz w:val="24"/>
          <w:szCs w:val="24"/>
        </w:rPr>
        <w:t>» июня 2016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76B95" w:rsidRPr="00E323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6984" w:rsidRDefault="00CA6984" w:rsidP="00C76B95">
      <w:pPr>
        <w:spacing w:after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C76B95" w:rsidRPr="00E32353" w:rsidRDefault="00C76B95" w:rsidP="00C76B95">
      <w:pPr>
        <w:spacing w:after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32353">
        <w:rPr>
          <w:rFonts w:ascii="Times New Roman" w:hAnsi="Times New Roman" w:cs="Times New Roman"/>
          <w:sz w:val="24"/>
          <w:szCs w:val="24"/>
        </w:rPr>
        <w:t xml:space="preserve">Дата ввода в действие: </w:t>
      </w:r>
    </w:p>
    <w:p w:rsidR="00C76B95" w:rsidRPr="00E32353" w:rsidRDefault="00C76B95" w:rsidP="00C76B95">
      <w:pPr>
        <w:spacing w:after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32353">
        <w:rPr>
          <w:rFonts w:ascii="Times New Roman" w:hAnsi="Times New Roman" w:cs="Times New Roman"/>
          <w:sz w:val="24"/>
          <w:szCs w:val="24"/>
        </w:rPr>
        <w:t>«20» июня 2016 г.</w:t>
      </w:r>
    </w:p>
    <w:p w:rsidR="00C76B95" w:rsidRPr="00E32353" w:rsidRDefault="00C76B95" w:rsidP="00C76B95">
      <w:pPr>
        <w:spacing w:before="120"/>
        <w:ind w:firstLine="5954"/>
        <w:rPr>
          <w:rFonts w:ascii="Times New Roman" w:hAnsi="Times New Roman" w:cs="Times New Roman"/>
          <w:sz w:val="24"/>
          <w:szCs w:val="24"/>
        </w:rPr>
      </w:pPr>
    </w:p>
    <w:p w:rsidR="00C76B95" w:rsidRPr="00FF2844" w:rsidRDefault="00C76B95" w:rsidP="00C76B95">
      <w:pPr>
        <w:spacing w:line="360" w:lineRule="auto"/>
        <w:rPr>
          <w:rFonts w:ascii="Times New Roman" w:hAnsi="Times New Roman" w:cs="Times New Roman"/>
          <w:b/>
        </w:rPr>
      </w:pPr>
    </w:p>
    <w:p w:rsidR="00C76B95" w:rsidRPr="00FF2844" w:rsidRDefault="00C76B95" w:rsidP="00C76B9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115B1" w:rsidRPr="00C115B1" w:rsidRDefault="00C115B1" w:rsidP="00C115B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15B1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44128E" w:rsidRDefault="00C115B1" w:rsidP="00C115B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15B1">
        <w:rPr>
          <w:rFonts w:ascii="Times New Roman" w:hAnsi="Times New Roman" w:cs="Times New Roman"/>
          <w:b/>
          <w:caps/>
          <w:sz w:val="28"/>
          <w:szCs w:val="28"/>
        </w:rPr>
        <w:t>О политикЕ</w:t>
      </w:r>
      <w:r w:rsidR="00C76B95" w:rsidRPr="00C115B1">
        <w:rPr>
          <w:rFonts w:ascii="Times New Roman" w:hAnsi="Times New Roman" w:cs="Times New Roman"/>
          <w:b/>
          <w:caps/>
          <w:sz w:val="28"/>
          <w:szCs w:val="28"/>
        </w:rPr>
        <w:t xml:space="preserve"> осуществления прав по ценным бумагам доверительн</w:t>
      </w:r>
      <w:r w:rsidR="00D2104E">
        <w:rPr>
          <w:rFonts w:ascii="Times New Roman" w:hAnsi="Times New Roman" w:cs="Times New Roman"/>
          <w:b/>
          <w:caps/>
          <w:sz w:val="28"/>
          <w:szCs w:val="28"/>
        </w:rPr>
        <w:t>ым</w:t>
      </w:r>
      <w:r w:rsidR="00C76B95" w:rsidRPr="00C115B1">
        <w:rPr>
          <w:rFonts w:ascii="Times New Roman" w:hAnsi="Times New Roman" w:cs="Times New Roman"/>
          <w:b/>
          <w:caps/>
          <w:sz w:val="28"/>
          <w:szCs w:val="28"/>
        </w:rPr>
        <w:t xml:space="preserve"> управл</w:t>
      </w:r>
      <w:r w:rsidR="00D2104E">
        <w:rPr>
          <w:rFonts w:ascii="Times New Roman" w:hAnsi="Times New Roman" w:cs="Times New Roman"/>
          <w:b/>
          <w:caps/>
          <w:sz w:val="28"/>
          <w:szCs w:val="28"/>
        </w:rPr>
        <w:t>яющим</w:t>
      </w:r>
      <w:r w:rsidR="0044128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C76B95" w:rsidRPr="00C115B1" w:rsidRDefault="0044128E" w:rsidP="00C115B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 акб «алмазэргиэнбанк» ао</w:t>
      </w:r>
    </w:p>
    <w:p w:rsidR="00C76B95" w:rsidRDefault="00C115B1" w:rsidP="00C115B1">
      <w:pPr>
        <w:spacing w:before="12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15B1">
        <w:rPr>
          <w:rFonts w:ascii="Times New Roman" w:hAnsi="Times New Roman" w:cs="Times New Roman"/>
          <w:b/>
          <w:caps/>
          <w:sz w:val="28"/>
          <w:szCs w:val="28"/>
        </w:rPr>
        <w:t>615-пл</w:t>
      </w:r>
    </w:p>
    <w:p w:rsidR="0044128E" w:rsidRDefault="0044128E" w:rsidP="00C115B1">
      <w:pPr>
        <w:spacing w:before="12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4128E" w:rsidRPr="00C115B1" w:rsidRDefault="0044128E" w:rsidP="00C115B1">
      <w:pPr>
        <w:spacing w:before="12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6B95" w:rsidRPr="00FF2844" w:rsidRDefault="00C76B95" w:rsidP="00C76B95">
      <w:pPr>
        <w:spacing w:before="120" w:line="288" w:lineRule="auto"/>
        <w:jc w:val="both"/>
        <w:rPr>
          <w:rFonts w:ascii="Times New Roman" w:hAnsi="Times New Roman" w:cs="Times New Roman"/>
        </w:rPr>
      </w:pPr>
    </w:p>
    <w:p w:rsidR="00C76B95" w:rsidRDefault="00C76B95" w:rsidP="00961402">
      <w:pPr>
        <w:spacing w:before="120" w:line="288" w:lineRule="auto"/>
        <w:jc w:val="right"/>
        <w:rPr>
          <w:rFonts w:ascii="Times New Roman" w:hAnsi="Times New Roman" w:cs="Times New Roman"/>
        </w:rPr>
      </w:pPr>
    </w:p>
    <w:p w:rsidR="00CA6984" w:rsidRDefault="00CA6984" w:rsidP="00961402">
      <w:pPr>
        <w:spacing w:before="120" w:line="288" w:lineRule="auto"/>
        <w:jc w:val="right"/>
        <w:rPr>
          <w:rFonts w:ascii="Times New Roman" w:hAnsi="Times New Roman" w:cs="Times New Roman"/>
        </w:rPr>
      </w:pPr>
    </w:p>
    <w:p w:rsidR="00CA6984" w:rsidRDefault="00CA6984" w:rsidP="00961402">
      <w:pPr>
        <w:spacing w:before="120" w:line="288" w:lineRule="auto"/>
        <w:jc w:val="right"/>
        <w:rPr>
          <w:rFonts w:ascii="Times New Roman" w:hAnsi="Times New Roman" w:cs="Times New Roman"/>
        </w:rPr>
      </w:pPr>
    </w:p>
    <w:p w:rsidR="00CA6984" w:rsidRDefault="00CA6984" w:rsidP="00961402">
      <w:pPr>
        <w:spacing w:before="120" w:line="288" w:lineRule="auto"/>
        <w:jc w:val="right"/>
        <w:rPr>
          <w:rFonts w:ascii="Times New Roman" w:hAnsi="Times New Roman" w:cs="Times New Roman"/>
        </w:rPr>
      </w:pPr>
    </w:p>
    <w:p w:rsidR="00CA6984" w:rsidRDefault="00CA6984" w:rsidP="00961402">
      <w:pPr>
        <w:spacing w:before="120" w:line="288" w:lineRule="auto"/>
        <w:jc w:val="right"/>
        <w:rPr>
          <w:rFonts w:ascii="Times New Roman" w:hAnsi="Times New Roman" w:cs="Times New Roman"/>
        </w:rPr>
      </w:pPr>
    </w:p>
    <w:p w:rsidR="00CA6984" w:rsidRDefault="00CA6984" w:rsidP="00961402">
      <w:pPr>
        <w:spacing w:before="120" w:line="288" w:lineRule="auto"/>
        <w:jc w:val="right"/>
        <w:rPr>
          <w:rFonts w:ascii="Times New Roman" w:hAnsi="Times New Roman" w:cs="Times New Roman"/>
        </w:rPr>
      </w:pPr>
    </w:p>
    <w:p w:rsidR="0044128E" w:rsidRPr="00FF2844" w:rsidRDefault="0044128E" w:rsidP="00C76B95">
      <w:pPr>
        <w:spacing w:before="120" w:line="288" w:lineRule="auto"/>
        <w:jc w:val="both"/>
        <w:rPr>
          <w:rFonts w:ascii="Times New Roman" w:hAnsi="Times New Roman" w:cs="Times New Roman"/>
        </w:rPr>
      </w:pPr>
    </w:p>
    <w:p w:rsidR="00C76B95" w:rsidRDefault="00C76B95" w:rsidP="00C76B95">
      <w:pPr>
        <w:spacing w:before="120" w:line="288" w:lineRule="auto"/>
        <w:jc w:val="both"/>
        <w:rPr>
          <w:rFonts w:ascii="Times New Roman" w:hAnsi="Times New Roman" w:cs="Times New Roman"/>
        </w:rPr>
      </w:pPr>
    </w:p>
    <w:p w:rsidR="00FF2844" w:rsidRPr="00FF2844" w:rsidRDefault="00FF2844" w:rsidP="00C76B95">
      <w:pPr>
        <w:spacing w:before="120" w:line="288" w:lineRule="auto"/>
        <w:jc w:val="both"/>
        <w:rPr>
          <w:rFonts w:ascii="Times New Roman" w:hAnsi="Times New Roman" w:cs="Times New Roman"/>
        </w:rPr>
      </w:pPr>
    </w:p>
    <w:p w:rsidR="00C76B95" w:rsidRPr="00FF2844" w:rsidRDefault="00C76B95" w:rsidP="00C76B95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FF2844">
        <w:rPr>
          <w:rFonts w:ascii="Times New Roman" w:hAnsi="Times New Roman" w:cs="Times New Roman"/>
          <w:b/>
        </w:rPr>
        <w:t>ЯКУТСК</w:t>
      </w:r>
    </w:p>
    <w:p w:rsidR="00C76B95" w:rsidRPr="00FF2844" w:rsidRDefault="00C76B95" w:rsidP="00C76B95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FF2844">
        <w:rPr>
          <w:rFonts w:ascii="Times New Roman" w:hAnsi="Times New Roman" w:cs="Times New Roman"/>
          <w:b/>
        </w:rPr>
        <w:t>2016</w:t>
      </w:r>
    </w:p>
    <w:p w:rsidR="008F63AA" w:rsidRDefault="00FF2844" w:rsidP="0044128E">
      <w:pPr>
        <w:jc w:val="both"/>
        <w:rPr>
          <w:rFonts w:ascii="Times New Roman" w:hAnsi="Times New Roman" w:cs="Times New Roman"/>
        </w:rPr>
      </w:pPr>
      <w:r>
        <w:rPr>
          <w:b/>
        </w:rPr>
        <w:br w:type="page"/>
      </w:r>
      <w:r w:rsidR="008F63AA" w:rsidRPr="008F63AA">
        <w:rPr>
          <w:rFonts w:ascii="Times New Roman" w:hAnsi="Times New Roman" w:cs="Times New Roman"/>
        </w:rPr>
        <w:lastRenderedPageBreak/>
        <w:t>Настоящ</w:t>
      </w:r>
      <w:r w:rsidR="008F63AA">
        <w:rPr>
          <w:rFonts w:ascii="Times New Roman" w:hAnsi="Times New Roman" w:cs="Times New Roman"/>
        </w:rPr>
        <w:t>ий документ</w:t>
      </w:r>
      <w:r w:rsidR="008F63AA" w:rsidRPr="008F63AA">
        <w:rPr>
          <w:rFonts w:ascii="Times New Roman" w:hAnsi="Times New Roman" w:cs="Times New Roman"/>
        </w:rPr>
        <w:t xml:space="preserve"> разработан в соответствии с Положением Банка России от 03 августа 2015 г. №482-П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 и иными нормативными правовыми актами Российской Федерации.</w:t>
      </w:r>
    </w:p>
    <w:p w:rsidR="008F63AA" w:rsidRPr="008F63AA" w:rsidRDefault="008F63AA" w:rsidP="008F63AA">
      <w:pPr>
        <w:jc w:val="both"/>
        <w:rPr>
          <w:rFonts w:ascii="Times New Roman" w:hAnsi="Times New Roman" w:cs="Times New Roman"/>
        </w:rPr>
      </w:pPr>
    </w:p>
    <w:p w:rsidR="005907BA" w:rsidRPr="005907BA" w:rsidRDefault="005907BA" w:rsidP="005907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5907BA">
        <w:rPr>
          <w:rFonts w:ascii="Times New Roman" w:hAnsi="Times New Roman" w:cs="Times New Roman"/>
          <w:b/>
        </w:rPr>
        <w:t>Общие положения</w:t>
      </w:r>
    </w:p>
    <w:p w:rsidR="005907BA" w:rsidRPr="005907BA" w:rsidRDefault="005907BA" w:rsidP="005907BA">
      <w:pPr>
        <w:pStyle w:val="a3"/>
        <w:ind w:left="360"/>
        <w:rPr>
          <w:rFonts w:ascii="Times New Roman" w:hAnsi="Times New Roman" w:cs="Times New Roman"/>
        </w:rPr>
      </w:pPr>
    </w:p>
    <w:p w:rsidR="00403E8B" w:rsidRDefault="00403E8B" w:rsidP="008F63A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АКБ «Алмазэргиэнбанк» АО (далее – Доверительный управляющий) осуществляет деятельность по доверительному управлению на рынке ценных бумаг путем совершения любых юридических и фактических действий в отношении объектов доверительного управления, а также осуществляет все права, удостоверенные ценными бумагами, включая право голоса по голосующим ценным бумагам.</w:t>
      </w:r>
    </w:p>
    <w:p w:rsidR="005907BA" w:rsidRDefault="00403E8B" w:rsidP="008F63A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</w:t>
      </w:r>
      <w:r w:rsidR="00D8686B">
        <w:rPr>
          <w:rFonts w:ascii="Times New Roman" w:hAnsi="Times New Roman" w:cs="Times New Roman"/>
        </w:rPr>
        <w:t>ий документ</w:t>
      </w:r>
      <w:r>
        <w:rPr>
          <w:rFonts w:ascii="Times New Roman" w:hAnsi="Times New Roman" w:cs="Times New Roman"/>
        </w:rPr>
        <w:t xml:space="preserve"> </w:t>
      </w:r>
      <w:r w:rsidR="005907BA">
        <w:rPr>
          <w:rFonts w:ascii="Times New Roman" w:hAnsi="Times New Roman" w:cs="Times New Roman"/>
        </w:rPr>
        <w:t xml:space="preserve">содержит </w:t>
      </w:r>
      <w:r>
        <w:rPr>
          <w:rFonts w:ascii="Times New Roman" w:hAnsi="Times New Roman" w:cs="Times New Roman"/>
        </w:rPr>
        <w:t xml:space="preserve">изложение </w:t>
      </w:r>
      <w:r w:rsidR="005907BA">
        <w:rPr>
          <w:rFonts w:ascii="Times New Roman" w:hAnsi="Times New Roman" w:cs="Times New Roman"/>
        </w:rPr>
        <w:t xml:space="preserve">позиции, которой будет придерживаться </w:t>
      </w:r>
      <w:r>
        <w:rPr>
          <w:rFonts w:ascii="Times New Roman" w:hAnsi="Times New Roman" w:cs="Times New Roman"/>
        </w:rPr>
        <w:t>Доверительный управляющий</w:t>
      </w:r>
      <w:r w:rsidR="005907BA">
        <w:rPr>
          <w:rFonts w:ascii="Times New Roman" w:hAnsi="Times New Roman" w:cs="Times New Roman"/>
        </w:rPr>
        <w:t xml:space="preserve">, при голосовании по вопросам на общих собраниях акционеров акционерных обществ, акции которых </w:t>
      </w:r>
      <w:r>
        <w:rPr>
          <w:rFonts w:ascii="Times New Roman" w:hAnsi="Times New Roman" w:cs="Times New Roman"/>
        </w:rPr>
        <w:t>входят в состав имущества Учредителя управления</w:t>
      </w:r>
      <w:r w:rsidR="005907BA">
        <w:rPr>
          <w:rFonts w:ascii="Times New Roman" w:hAnsi="Times New Roman" w:cs="Times New Roman"/>
        </w:rPr>
        <w:t>.</w:t>
      </w:r>
    </w:p>
    <w:p w:rsidR="005907BA" w:rsidRDefault="00403E8B" w:rsidP="008F63A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Доверительный управляющий</w:t>
      </w:r>
      <w:r w:rsidR="005907BA">
        <w:rPr>
          <w:rFonts w:ascii="Times New Roman" w:hAnsi="Times New Roman" w:cs="Times New Roman"/>
        </w:rPr>
        <w:t xml:space="preserve"> самостоятельно</w:t>
      </w:r>
      <w:r>
        <w:rPr>
          <w:rFonts w:ascii="Times New Roman" w:hAnsi="Times New Roman" w:cs="Times New Roman"/>
        </w:rPr>
        <w:t xml:space="preserve"> решает вопрос об участии в голосовании по вопросам, включенным в повестку дня общего собрания акционеров акционерного общества, также</w:t>
      </w:r>
      <w:r w:rsidR="005907BA">
        <w:rPr>
          <w:rFonts w:ascii="Times New Roman" w:hAnsi="Times New Roman" w:cs="Times New Roman"/>
        </w:rPr>
        <w:t xml:space="preserve"> осуществляет все права по ценным бумагам, если договором доверительного управления не установлено иное.</w:t>
      </w:r>
    </w:p>
    <w:p w:rsidR="005907BA" w:rsidRDefault="00403E8B" w:rsidP="008F63A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Доверительный управляющий вправе изменять Политику с соблюдением требований действующего законодательства РФ</w:t>
      </w:r>
      <w:r w:rsidR="005907BA">
        <w:rPr>
          <w:rFonts w:ascii="Times New Roman" w:hAnsi="Times New Roman" w:cs="Times New Roman"/>
        </w:rPr>
        <w:t>.</w:t>
      </w:r>
    </w:p>
    <w:p w:rsidR="00403E8B" w:rsidRDefault="00403E8B" w:rsidP="008F63A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Доверительный управляющий обеспечивает доступ к Политике, с включенными в нее изменениями, на официальном сайте в сети Интернет.</w:t>
      </w:r>
    </w:p>
    <w:p w:rsidR="009778C3" w:rsidRDefault="009778C3" w:rsidP="008F63A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Термины и сокращения, используемые в настоящем документе:</w:t>
      </w:r>
    </w:p>
    <w:p w:rsidR="009778C3" w:rsidRPr="00D8686B" w:rsidRDefault="009778C3" w:rsidP="00D8686B">
      <w:pPr>
        <w:spacing w:after="0"/>
        <w:jc w:val="both"/>
        <w:rPr>
          <w:rFonts w:ascii="Times New Roman" w:hAnsi="Times New Roman" w:cs="Times New Roman"/>
        </w:rPr>
      </w:pPr>
      <w:r w:rsidRPr="00D8686B">
        <w:rPr>
          <w:rFonts w:ascii="Times New Roman" w:hAnsi="Times New Roman" w:cs="Times New Roman"/>
          <w:b/>
        </w:rPr>
        <w:t>Доверительный управляющий</w:t>
      </w:r>
      <w:r w:rsidRPr="00D8686B">
        <w:rPr>
          <w:rFonts w:ascii="Times New Roman" w:hAnsi="Times New Roman" w:cs="Times New Roman"/>
        </w:rPr>
        <w:t xml:space="preserve"> – АКБ «Алмазэргиэнбанк» АО;</w:t>
      </w:r>
    </w:p>
    <w:p w:rsidR="002921E0" w:rsidRPr="002A44BA" w:rsidRDefault="00D8686B" w:rsidP="002921E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686B">
        <w:rPr>
          <w:rFonts w:ascii="Times New Roman" w:hAnsi="Times New Roman" w:cs="Times New Roman"/>
          <w:b/>
          <w:bCs/>
          <w:sz w:val="22"/>
          <w:szCs w:val="22"/>
        </w:rPr>
        <w:t xml:space="preserve">Учредитель управления (Клиент) </w:t>
      </w:r>
      <w:r w:rsidRPr="00D8686B">
        <w:rPr>
          <w:rFonts w:ascii="Times New Roman" w:hAnsi="Times New Roman" w:cs="Times New Roman"/>
          <w:sz w:val="22"/>
          <w:szCs w:val="22"/>
        </w:rPr>
        <w:t xml:space="preserve">– </w:t>
      </w:r>
      <w:r w:rsidR="002921E0" w:rsidRPr="002A44BA">
        <w:rPr>
          <w:rFonts w:ascii="Times New Roman" w:hAnsi="Times New Roman" w:cs="Times New Roman"/>
        </w:rPr>
        <w:t xml:space="preserve">юридическое или физическое лицо, </w:t>
      </w:r>
      <w:r w:rsidR="002921E0" w:rsidRPr="005C4217">
        <w:rPr>
          <w:rFonts w:ascii="Times New Roman" w:hAnsi="Times New Roman"/>
        </w:rPr>
        <w:t xml:space="preserve">которому Банк оказывает услуги </w:t>
      </w:r>
      <w:r w:rsidR="002921E0">
        <w:rPr>
          <w:rFonts w:ascii="Times New Roman" w:hAnsi="Times New Roman"/>
        </w:rPr>
        <w:t>доверительного управления на рынке ценных бумаг на основании д</w:t>
      </w:r>
      <w:r w:rsidR="002921E0" w:rsidRPr="002A44BA">
        <w:rPr>
          <w:rFonts w:ascii="Times New Roman" w:hAnsi="Times New Roman" w:cs="Times New Roman"/>
        </w:rPr>
        <w:t>оговор</w:t>
      </w:r>
      <w:r w:rsidR="002921E0">
        <w:rPr>
          <w:rFonts w:ascii="Times New Roman" w:hAnsi="Times New Roman" w:cs="Times New Roman"/>
        </w:rPr>
        <w:t>а</w:t>
      </w:r>
      <w:r w:rsidR="002921E0" w:rsidRPr="002A44BA">
        <w:rPr>
          <w:rFonts w:ascii="Times New Roman" w:hAnsi="Times New Roman" w:cs="Times New Roman"/>
        </w:rPr>
        <w:t xml:space="preserve">. </w:t>
      </w:r>
    </w:p>
    <w:p w:rsidR="005907BA" w:rsidRDefault="005907BA" w:rsidP="002921E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44912" w:rsidRDefault="00244912" w:rsidP="005907BA">
      <w:pPr>
        <w:pStyle w:val="a3"/>
        <w:ind w:left="360"/>
        <w:rPr>
          <w:rFonts w:ascii="Times New Roman" w:hAnsi="Times New Roman" w:cs="Times New Roman"/>
        </w:rPr>
      </w:pPr>
    </w:p>
    <w:p w:rsidR="005907BA" w:rsidRDefault="005907BA" w:rsidP="005907B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5907BA">
        <w:rPr>
          <w:rFonts w:ascii="Times New Roman" w:hAnsi="Times New Roman" w:cs="Times New Roman"/>
          <w:b/>
        </w:rPr>
        <w:t>Осуществление права голоса по ценным бумагам</w:t>
      </w:r>
    </w:p>
    <w:p w:rsidR="005907BA" w:rsidRPr="005907BA" w:rsidRDefault="005907BA" w:rsidP="005907BA">
      <w:pPr>
        <w:pStyle w:val="a3"/>
        <w:ind w:left="360"/>
        <w:rPr>
          <w:rFonts w:ascii="Times New Roman" w:hAnsi="Times New Roman" w:cs="Times New Roman"/>
          <w:b/>
        </w:rPr>
      </w:pPr>
    </w:p>
    <w:p w:rsidR="00D406BA" w:rsidRDefault="00D406BA" w:rsidP="008F63A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Доверительный управляющий определяет свою позицию (принципы голосования), которой будет придерживаться при осуществлении прав голоса по акциям, входящи</w:t>
      </w:r>
      <w:r w:rsidR="0024491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в состав имущества </w:t>
      </w:r>
      <w:r w:rsidR="00D8686B">
        <w:rPr>
          <w:rFonts w:ascii="Times New Roman" w:hAnsi="Times New Roman" w:cs="Times New Roman"/>
        </w:rPr>
        <w:t>Учредителя управления</w:t>
      </w:r>
      <w:r>
        <w:rPr>
          <w:rFonts w:ascii="Times New Roman" w:hAnsi="Times New Roman" w:cs="Times New Roman"/>
        </w:rPr>
        <w:t>, при голосовании на общих собраниях акционеров по следующим вопросам:</w:t>
      </w:r>
    </w:p>
    <w:p w:rsidR="00D406BA" w:rsidRDefault="00D406BA" w:rsidP="00D406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реорганизации эмитента;</w:t>
      </w:r>
    </w:p>
    <w:p w:rsidR="00D406BA" w:rsidRDefault="00D406BA" w:rsidP="00D406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ликвидации эмитента;</w:t>
      </w:r>
    </w:p>
    <w:p w:rsidR="00D406BA" w:rsidRDefault="00D406BA" w:rsidP="00D406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определении количества, номинальной стоимости, категории (типа) объявленных акций и прав, предоставляемых этими акциями;</w:t>
      </w:r>
    </w:p>
    <w:p w:rsidR="00D406BA" w:rsidRDefault="00D406BA" w:rsidP="00D406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увеличении уставного капитала эмитента;</w:t>
      </w:r>
    </w:p>
    <w:p w:rsidR="00D406BA" w:rsidRDefault="00D406BA" w:rsidP="00D406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уменьшении уставного капитала эмитента;</w:t>
      </w:r>
    </w:p>
    <w:p w:rsidR="00D406BA" w:rsidRDefault="00D406BA" w:rsidP="00D406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размещении эмитентом облигаций и иных эмиссионных ценных бумаг (кроме акций);</w:t>
      </w:r>
    </w:p>
    <w:p w:rsidR="00D406BA" w:rsidRDefault="00815AD8" w:rsidP="00D406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выплате эмитентом дивидендов;</w:t>
      </w:r>
    </w:p>
    <w:p w:rsidR="00815AD8" w:rsidRDefault="00815AD8" w:rsidP="00D406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 дроблении акций;</w:t>
      </w:r>
    </w:p>
    <w:p w:rsidR="00815AD8" w:rsidRDefault="00815AD8" w:rsidP="00D406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консолидации акций;</w:t>
      </w:r>
    </w:p>
    <w:p w:rsidR="00815AD8" w:rsidRDefault="00815AD8" w:rsidP="00D406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определении размера вознаграждений и компенсаций членам совета директоров (наблюдательного совета) эмитента;</w:t>
      </w:r>
    </w:p>
    <w:p w:rsidR="00815AD8" w:rsidRDefault="00815AD8" w:rsidP="00D406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и условиях приобретения лицом более 30 (тридцати) процентов общего количества обыкновенных акций и привилегированных акций эмитента, предоставляющих право голоса в соответствии с п.5 ст.32 Федерального закона от 26.12.1995г. №208-ФЗ «Об акционерных обществах», с учетом акций, принадлежащих данному лицу и его аффилированным лицам.</w:t>
      </w:r>
    </w:p>
    <w:p w:rsidR="005907BA" w:rsidRDefault="00387E24" w:rsidP="008F63A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осуществлении прав голоса по акциям</w:t>
      </w:r>
      <w:r w:rsidR="004D56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входящи</w:t>
      </w:r>
      <w:r w:rsidR="004D563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в состав имущества </w:t>
      </w:r>
      <w:r w:rsidR="001F7E3A">
        <w:rPr>
          <w:rFonts w:ascii="Times New Roman" w:hAnsi="Times New Roman" w:cs="Times New Roman"/>
        </w:rPr>
        <w:t>Клиента</w:t>
      </w:r>
      <w:r>
        <w:rPr>
          <w:rFonts w:ascii="Times New Roman" w:hAnsi="Times New Roman" w:cs="Times New Roman"/>
        </w:rPr>
        <w:t>, на общих собраниях акционеров по вопросам, указанным в п.2.1. настоящего По</w:t>
      </w:r>
      <w:r w:rsidR="00D8686B">
        <w:rPr>
          <w:rFonts w:ascii="Times New Roman" w:hAnsi="Times New Roman" w:cs="Times New Roman"/>
        </w:rPr>
        <w:t>ложения</w:t>
      </w:r>
      <w:r>
        <w:rPr>
          <w:rFonts w:ascii="Times New Roman" w:hAnsi="Times New Roman" w:cs="Times New Roman"/>
        </w:rPr>
        <w:t>, доверительный управляющий руководствуется следующими принципами:</w:t>
      </w:r>
    </w:p>
    <w:p w:rsidR="005907BA" w:rsidRDefault="005907BA" w:rsidP="008F63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Законные </w:t>
      </w:r>
      <w:r w:rsidRPr="009B0AD0">
        <w:rPr>
          <w:rFonts w:ascii="Times New Roman" w:hAnsi="Times New Roman" w:cs="Times New Roman"/>
        </w:rPr>
        <w:t xml:space="preserve">права и интересы </w:t>
      </w:r>
      <w:r w:rsidR="00961402">
        <w:rPr>
          <w:rFonts w:ascii="Times New Roman" w:hAnsi="Times New Roman" w:cs="Times New Roman"/>
        </w:rPr>
        <w:t>Учредителя управления</w:t>
      </w:r>
      <w:r w:rsidRPr="009B0AD0">
        <w:rPr>
          <w:rFonts w:ascii="Times New Roman" w:hAnsi="Times New Roman" w:cs="Times New Roman"/>
        </w:rPr>
        <w:t xml:space="preserve"> ставятся выше интересов Доверительн</w:t>
      </w:r>
      <w:r>
        <w:rPr>
          <w:rFonts w:ascii="Times New Roman" w:hAnsi="Times New Roman" w:cs="Times New Roman"/>
        </w:rPr>
        <w:t>ого</w:t>
      </w:r>
      <w:r w:rsidRPr="009B0AD0">
        <w:rPr>
          <w:rFonts w:ascii="Times New Roman" w:hAnsi="Times New Roman" w:cs="Times New Roman"/>
        </w:rPr>
        <w:t xml:space="preserve"> управляющ</w:t>
      </w:r>
      <w:r>
        <w:rPr>
          <w:rFonts w:ascii="Times New Roman" w:hAnsi="Times New Roman" w:cs="Times New Roman"/>
        </w:rPr>
        <w:t>его</w:t>
      </w:r>
      <w:r w:rsidRPr="009B0AD0">
        <w:rPr>
          <w:rFonts w:ascii="Times New Roman" w:hAnsi="Times New Roman" w:cs="Times New Roman"/>
        </w:rPr>
        <w:t xml:space="preserve">, заинтересованности </w:t>
      </w:r>
      <w:r>
        <w:rPr>
          <w:rFonts w:ascii="Times New Roman" w:hAnsi="Times New Roman" w:cs="Times New Roman"/>
        </w:rPr>
        <w:t>его</w:t>
      </w:r>
      <w:r w:rsidRPr="009B0AD0">
        <w:rPr>
          <w:rFonts w:ascii="Times New Roman" w:hAnsi="Times New Roman" w:cs="Times New Roman"/>
        </w:rPr>
        <w:t xml:space="preserve"> должностных лиц и сотрудников в получении материальной и/или личной</w:t>
      </w:r>
      <w:r>
        <w:rPr>
          <w:rFonts w:ascii="Times New Roman" w:hAnsi="Times New Roman" w:cs="Times New Roman"/>
        </w:rPr>
        <w:t xml:space="preserve"> выгоды;</w:t>
      </w:r>
    </w:p>
    <w:p w:rsidR="005907BA" w:rsidRDefault="005907BA" w:rsidP="008F63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Pr="009B0AD0">
        <w:rPr>
          <w:rFonts w:ascii="Times New Roman" w:hAnsi="Times New Roman" w:cs="Times New Roman"/>
        </w:rPr>
        <w:t xml:space="preserve">голосовании на общих собраниях владельцев ценных бумаг по каждому конкретному вопросу принимаются решения, направленные на обеспечение сохранности и прироста имущества </w:t>
      </w:r>
      <w:r w:rsidR="00D8686B">
        <w:rPr>
          <w:rFonts w:ascii="Times New Roman" w:hAnsi="Times New Roman" w:cs="Times New Roman"/>
        </w:rPr>
        <w:t>Клиента</w:t>
      </w:r>
      <w:r>
        <w:rPr>
          <w:rFonts w:ascii="Times New Roman" w:hAnsi="Times New Roman" w:cs="Times New Roman"/>
        </w:rPr>
        <w:t>;</w:t>
      </w:r>
    </w:p>
    <w:p w:rsidR="005907BA" w:rsidRDefault="005907BA" w:rsidP="008F63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Голосование </w:t>
      </w:r>
      <w:r w:rsidRPr="009B0AD0">
        <w:rPr>
          <w:rFonts w:ascii="Times New Roman" w:hAnsi="Times New Roman" w:cs="Times New Roman"/>
        </w:rPr>
        <w:t>должно обеспечивать за</w:t>
      </w:r>
      <w:r>
        <w:rPr>
          <w:rFonts w:ascii="Times New Roman" w:hAnsi="Times New Roman" w:cs="Times New Roman"/>
        </w:rPr>
        <w:t xml:space="preserve">щиту прав и законных интересов </w:t>
      </w:r>
      <w:r w:rsidR="00961402">
        <w:rPr>
          <w:rFonts w:ascii="Times New Roman" w:hAnsi="Times New Roman" w:cs="Times New Roman"/>
        </w:rPr>
        <w:t>Учредителя управления</w:t>
      </w:r>
      <w:r w:rsidRPr="009B0AD0">
        <w:rPr>
          <w:rFonts w:ascii="Times New Roman" w:hAnsi="Times New Roman" w:cs="Times New Roman"/>
        </w:rPr>
        <w:t>, в интересах которых действует Доверительный управляющий, а также соблюдение этических норм и практики делового оборота</w:t>
      </w:r>
      <w:r>
        <w:rPr>
          <w:rFonts w:ascii="Times New Roman" w:hAnsi="Times New Roman" w:cs="Times New Roman"/>
        </w:rPr>
        <w:t>;</w:t>
      </w:r>
    </w:p>
    <w:p w:rsidR="005907BA" w:rsidRDefault="005907BA" w:rsidP="008F63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Pr="009B0AD0">
        <w:rPr>
          <w:rFonts w:ascii="Times New Roman" w:hAnsi="Times New Roman" w:cs="Times New Roman"/>
        </w:rPr>
        <w:t>голосовании не допускает предвзятости, зависимости от третьих лиц, которые могут нанести уще</w:t>
      </w:r>
      <w:r>
        <w:rPr>
          <w:rFonts w:ascii="Times New Roman" w:hAnsi="Times New Roman" w:cs="Times New Roman"/>
        </w:rPr>
        <w:t>рб законным правам и интересам У</w:t>
      </w:r>
      <w:r w:rsidRPr="009B0AD0">
        <w:rPr>
          <w:rFonts w:ascii="Times New Roman" w:hAnsi="Times New Roman" w:cs="Times New Roman"/>
        </w:rPr>
        <w:t>чредителей управления</w:t>
      </w:r>
      <w:r>
        <w:rPr>
          <w:rFonts w:ascii="Times New Roman" w:hAnsi="Times New Roman" w:cs="Times New Roman"/>
        </w:rPr>
        <w:t>.</w:t>
      </w:r>
    </w:p>
    <w:p w:rsidR="005907BA" w:rsidRDefault="00387E24" w:rsidP="008F63A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Доверительный управляющий</w:t>
      </w:r>
      <w:r w:rsidR="005907BA">
        <w:rPr>
          <w:rFonts w:ascii="Times New Roman" w:hAnsi="Times New Roman" w:cs="Times New Roman"/>
        </w:rPr>
        <w:t xml:space="preserve"> принимает </w:t>
      </w:r>
      <w:r w:rsidR="005907BA" w:rsidRPr="009B0AD0">
        <w:rPr>
          <w:rFonts w:ascii="Times New Roman" w:hAnsi="Times New Roman" w:cs="Times New Roman"/>
        </w:rPr>
        <w:t xml:space="preserve">решение о выборе </w:t>
      </w:r>
      <w:r w:rsidR="008F63AA">
        <w:rPr>
          <w:rFonts w:ascii="Times New Roman" w:hAnsi="Times New Roman" w:cs="Times New Roman"/>
        </w:rPr>
        <w:t>определенного</w:t>
      </w:r>
      <w:r w:rsidR="005907BA" w:rsidRPr="009B0AD0">
        <w:rPr>
          <w:rFonts w:ascii="Times New Roman" w:hAnsi="Times New Roman" w:cs="Times New Roman"/>
        </w:rPr>
        <w:t xml:space="preserve"> варианта голосования, руководствуясь принципами разумности и добросовестности, в том числе с учетом следующег</w:t>
      </w:r>
      <w:r w:rsidR="005907BA">
        <w:rPr>
          <w:rFonts w:ascii="Times New Roman" w:hAnsi="Times New Roman" w:cs="Times New Roman"/>
        </w:rPr>
        <w:t>о:</w:t>
      </w:r>
    </w:p>
    <w:p w:rsidR="005907BA" w:rsidRDefault="005907BA" w:rsidP="008F63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Срока </w:t>
      </w:r>
      <w:r w:rsidRPr="009B0AD0">
        <w:rPr>
          <w:rFonts w:ascii="Times New Roman" w:hAnsi="Times New Roman" w:cs="Times New Roman"/>
        </w:rPr>
        <w:t>договора доверительного управления</w:t>
      </w:r>
      <w:r>
        <w:rPr>
          <w:rFonts w:ascii="Times New Roman" w:hAnsi="Times New Roman" w:cs="Times New Roman"/>
        </w:rPr>
        <w:t>;</w:t>
      </w:r>
    </w:p>
    <w:p w:rsidR="005907BA" w:rsidRDefault="005907BA" w:rsidP="008F63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Инвестиционных </w:t>
      </w:r>
      <w:r w:rsidRPr="009B0AD0">
        <w:rPr>
          <w:rFonts w:ascii="Times New Roman" w:hAnsi="Times New Roman" w:cs="Times New Roman"/>
        </w:rPr>
        <w:t xml:space="preserve">целей </w:t>
      </w:r>
      <w:r>
        <w:rPr>
          <w:rFonts w:ascii="Times New Roman" w:hAnsi="Times New Roman" w:cs="Times New Roman"/>
        </w:rPr>
        <w:t>учредителя</w:t>
      </w:r>
      <w:r w:rsidRPr="009B0AD0">
        <w:rPr>
          <w:rFonts w:ascii="Times New Roman" w:hAnsi="Times New Roman" w:cs="Times New Roman"/>
        </w:rPr>
        <w:t xml:space="preserve"> управления</w:t>
      </w:r>
      <w:r>
        <w:rPr>
          <w:rFonts w:ascii="Times New Roman" w:hAnsi="Times New Roman" w:cs="Times New Roman"/>
        </w:rPr>
        <w:t>;</w:t>
      </w:r>
    </w:p>
    <w:p w:rsidR="005907BA" w:rsidRDefault="005907BA" w:rsidP="008F63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Соотношения </w:t>
      </w:r>
      <w:r w:rsidRPr="009B0AD0">
        <w:rPr>
          <w:rFonts w:ascii="Times New Roman" w:hAnsi="Times New Roman" w:cs="Times New Roman"/>
        </w:rPr>
        <w:t>голосов, принадлежащих Доверительн</w:t>
      </w:r>
      <w:r>
        <w:rPr>
          <w:rFonts w:ascii="Times New Roman" w:hAnsi="Times New Roman" w:cs="Times New Roman"/>
        </w:rPr>
        <w:t>ому</w:t>
      </w:r>
      <w:r w:rsidRPr="009B0AD0">
        <w:rPr>
          <w:rFonts w:ascii="Times New Roman" w:hAnsi="Times New Roman" w:cs="Times New Roman"/>
        </w:rPr>
        <w:t xml:space="preserve"> управляющ</w:t>
      </w:r>
      <w:r>
        <w:rPr>
          <w:rFonts w:ascii="Times New Roman" w:hAnsi="Times New Roman" w:cs="Times New Roman"/>
        </w:rPr>
        <w:t>ем</w:t>
      </w:r>
      <w:r w:rsidRPr="009B0AD0">
        <w:rPr>
          <w:rFonts w:ascii="Times New Roman" w:hAnsi="Times New Roman" w:cs="Times New Roman"/>
        </w:rPr>
        <w:t>у, к общему количеству голосов по вопрос</w:t>
      </w:r>
      <w:r>
        <w:rPr>
          <w:rFonts w:ascii="Times New Roman" w:hAnsi="Times New Roman" w:cs="Times New Roman"/>
        </w:rPr>
        <w:t>у</w:t>
      </w:r>
      <w:r w:rsidRPr="009B0AD0">
        <w:rPr>
          <w:rFonts w:ascii="Times New Roman" w:hAnsi="Times New Roman" w:cs="Times New Roman"/>
        </w:rPr>
        <w:t>, вынесенному на голосование</w:t>
      </w:r>
      <w:r>
        <w:rPr>
          <w:rFonts w:ascii="Times New Roman" w:hAnsi="Times New Roman" w:cs="Times New Roman"/>
        </w:rPr>
        <w:t>;</w:t>
      </w:r>
    </w:p>
    <w:p w:rsidR="005907BA" w:rsidRDefault="005907BA" w:rsidP="008F63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 и </w:t>
      </w:r>
      <w:r w:rsidRPr="009B0AD0">
        <w:rPr>
          <w:rFonts w:ascii="Times New Roman" w:hAnsi="Times New Roman" w:cs="Times New Roman"/>
        </w:rPr>
        <w:t>перспектив развития акционерного общества, паевого инвестиционного фонда и др</w:t>
      </w:r>
      <w:r>
        <w:rPr>
          <w:rFonts w:ascii="Times New Roman" w:hAnsi="Times New Roman" w:cs="Times New Roman"/>
        </w:rPr>
        <w:t>.</w:t>
      </w:r>
    </w:p>
    <w:p w:rsidR="00387E24" w:rsidRDefault="00387E24" w:rsidP="00387E24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на момент принятия решения Доверительным управляющим не представляется возможным установить вариант голосования, выбор которого в наибольшей мере будет соответствовать принципам</w:t>
      </w:r>
      <w:r w:rsidR="004D56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изложенным в п.2.3. настоящего документа, Доверительный управляющий осуществляет права голоса по акциям на общих собраниях акционеров следующим образом:</w:t>
      </w:r>
    </w:p>
    <w:p w:rsidR="00387E24" w:rsidRDefault="00387E24" w:rsidP="00387E2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голосовании по вопросам реорганизации эмитента, о ликвидации эмитента, об уменьшении уставного капитала эмитента, о дроблении или консолидации акций эмитента Доверительный управляющий выбирает вариант «против»;</w:t>
      </w:r>
    </w:p>
    <w:p w:rsidR="00387E24" w:rsidRDefault="00387E24" w:rsidP="00387E2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голосовании по вопросам об определении количества, номинальной стоимости, категории (типа) объявленных акций и прав, предоставляемых этими акциями, об увеличении уставного капитала эмитента, о размещении эмитентом облигаций и иных эмиссионных ценных бумаг (кроме акций) Доверительный управляющий выбирает вариант «за» в случае, если средства,  полученные от размещения акций, облигаций и иных эмиссионных ценных бумаг, эмитент планирует </w:t>
      </w:r>
      <w:r w:rsidR="0088006D">
        <w:rPr>
          <w:rFonts w:ascii="Times New Roman" w:hAnsi="Times New Roman" w:cs="Times New Roman"/>
        </w:rPr>
        <w:t>направить на цели, способствующие развитию деятельности эмитента и повышению рыночной стоимости его акций. В остальных случаях Доверительный управляющий голосует «против»;</w:t>
      </w:r>
    </w:p>
    <w:p w:rsidR="0088006D" w:rsidRDefault="0088006D" w:rsidP="00387E2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голосовании по вопросу о выплате эмитентом дивидендов по акциям Доверительный управляющий выбирает преимущественно вариант «за», учитывая при принятии решения имеющуюся в ее распоряжении информацию о размерах дивидендов, выплачиваемых другими эмитентами, о планируемых направлениях расходования нераспределенной прибыли, остающейся в распоряжении эмитента после выплаты дивидендов, и характер влияния этих мероприятий на повышение рыночной стоимости акций эмитента;</w:t>
      </w:r>
    </w:p>
    <w:p w:rsidR="0088006D" w:rsidRDefault="0088006D" w:rsidP="00387E2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голосовании </w:t>
      </w:r>
      <w:r w:rsidR="00715EDC">
        <w:rPr>
          <w:rFonts w:ascii="Times New Roman" w:hAnsi="Times New Roman" w:cs="Times New Roman"/>
        </w:rPr>
        <w:t>по вопросу об определении размера вознаграждений и компенсаций членам совета директоров (наблюдательного совета) эмитента Доверительный управляющий голосует исходя из имеющейся в е</w:t>
      </w:r>
      <w:r w:rsidR="00961402">
        <w:rPr>
          <w:rFonts w:ascii="Times New Roman" w:hAnsi="Times New Roman" w:cs="Times New Roman"/>
        </w:rPr>
        <w:t>го</w:t>
      </w:r>
      <w:r w:rsidR="00715EDC">
        <w:rPr>
          <w:rFonts w:ascii="Times New Roman" w:hAnsi="Times New Roman" w:cs="Times New Roman"/>
        </w:rPr>
        <w:t xml:space="preserve"> распоряжении информации о размерах указанных вознаграждений и компенсаций, выплачиваемых членам совета директоров (наблюдательного совета) других эмитентов, а при отсутствии такой информации – выбирает вариант «воздержался» по указанному вопросу;</w:t>
      </w:r>
    </w:p>
    <w:p w:rsidR="00715EDC" w:rsidRPr="00387E24" w:rsidRDefault="00715EDC" w:rsidP="00387E2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голосовании по вопросу о порядке и условиях приобретения лицом более 30 (тридцати) процентов общего количества обыкновенных акций и привилегированных акций эмитента, предоставляющих право голоса в соответствии с п.5 ст.32 Федерального закона от 26.12.1995г. №208-ФЗ «Об акционерных обществах», с учетом акций, принадлежащих данному лицу и его аффилированным лицам, Доверительный управляющий голосует исходя из количества голосующих акций в составе имущества Учредителя управления (процента голосов к общему количеству голосующих акций эмитента), соблюдая, соответственно, интересы преимущественно миноритарных акционеров.</w:t>
      </w:r>
    </w:p>
    <w:p w:rsidR="00244912" w:rsidRDefault="00244912" w:rsidP="00244912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 соответствии с договором доверительного управления Доверительный управляющий не уполномочен </w:t>
      </w:r>
      <w:r w:rsidRPr="009B0AD0">
        <w:rPr>
          <w:rFonts w:ascii="Times New Roman" w:hAnsi="Times New Roman" w:cs="Times New Roman"/>
        </w:rPr>
        <w:t>осуществлять по ценным бумагам, являющимся объект</w:t>
      </w:r>
      <w:r>
        <w:rPr>
          <w:rFonts w:ascii="Times New Roman" w:hAnsi="Times New Roman" w:cs="Times New Roman"/>
        </w:rPr>
        <w:t>ами</w:t>
      </w:r>
      <w:r w:rsidRPr="009B0AD0">
        <w:rPr>
          <w:rFonts w:ascii="Times New Roman" w:hAnsi="Times New Roman" w:cs="Times New Roman"/>
        </w:rPr>
        <w:t xml:space="preserve"> доверительного управления, права голоса на общем собрании владельцев ценных бумаг, то </w:t>
      </w:r>
      <w:r>
        <w:rPr>
          <w:rFonts w:ascii="Times New Roman" w:hAnsi="Times New Roman" w:cs="Times New Roman"/>
        </w:rPr>
        <w:t>доверительный управляющий</w:t>
      </w:r>
      <w:r w:rsidRPr="009B0AD0">
        <w:rPr>
          <w:rFonts w:ascii="Times New Roman" w:hAnsi="Times New Roman" w:cs="Times New Roman"/>
        </w:rPr>
        <w:t xml:space="preserve"> совершает действия, необходимые для осуществления учредителем управления прав голоса по таким ценным бумагам, а также требовать от эмитента ценных бумаг (лица, обязанного по ценной бумаге) их выкупа (погашения</w:t>
      </w:r>
      <w:r>
        <w:rPr>
          <w:rFonts w:ascii="Times New Roman" w:hAnsi="Times New Roman" w:cs="Times New Roman"/>
        </w:rPr>
        <w:t>).</w:t>
      </w:r>
    </w:p>
    <w:p w:rsidR="005907BA" w:rsidRDefault="005907BA" w:rsidP="008F63A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Pr="009B0AD0">
        <w:rPr>
          <w:rFonts w:ascii="Times New Roman" w:hAnsi="Times New Roman" w:cs="Times New Roman"/>
        </w:rPr>
        <w:t xml:space="preserve">реализации </w:t>
      </w:r>
      <w:r w:rsidR="00961402">
        <w:rPr>
          <w:rFonts w:ascii="Times New Roman" w:hAnsi="Times New Roman" w:cs="Times New Roman"/>
        </w:rPr>
        <w:t>положений настоящего документа</w:t>
      </w:r>
      <w:r w:rsidRPr="009B0AD0">
        <w:rPr>
          <w:rFonts w:ascii="Times New Roman" w:hAnsi="Times New Roman" w:cs="Times New Roman"/>
        </w:rPr>
        <w:t xml:space="preserve"> Доверительный управляющий при осуществлении прав голоса по ценным бумагам, являющимся объектами доверительного управления, при необходимости истребует бухгалтерские и другие документы для анализа финансово-хозяйственной деятельности акционерного общества и действий исполнительных органов акционерного общества, паевого инвестиционного фонда и его управляющей компании и др</w:t>
      </w:r>
      <w:r>
        <w:rPr>
          <w:rFonts w:ascii="Times New Roman" w:hAnsi="Times New Roman" w:cs="Times New Roman"/>
        </w:rPr>
        <w:t xml:space="preserve">. </w:t>
      </w:r>
    </w:p>
    <w:p w:rsidR="005907BA" w:rsidRDefault="005907BA" w:rsidP="008F63A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осуществлении Банком в отчетном периоде </w:t>
      </w:r>
      <w:r w:rsidRPr="009B0AD0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>а</w:t>
      </w:r>
      <w:r w:rsidRPr="009B0AD0">
        <w:rPr>
          <w:rFonts w:ascii="Times New Roman" w:hAnsi="Times New Roman" w:cs="Times New Roman"/>
        </w:rPr>
        <w:t xml:space="preserve"> голоса по ценным бумагам, являющимся объектами доверительного управления, Доверительный управляющий указывает в отчете, предоставляемо</w:t>
      </w:r>
      <w:r w:rsidR="00715EDC">
        <w:rPr>
          <w:rFonts w:ascii="Times New Roman" w:hAnsi="Times New Roman" w:cs="Times New Roman"/>
        </w:rPr>
        <w:t>му</w:t>
      </w:r>
      <w:r w:rsidRPr="009B0AD0">
        <w:rPr>
          <w:rFonts w:ascii="Times New Roman" w:hAnsi="Times New Roman" w:cs="Times New Roman"/>
        </w:rPr>
        <w:t xml:space="preserve"> </w:t>
      </w:r>
      <w:r w:rsidR="00715EDC">
        <w:rPr>
          <w:rFonts w:ascii="Times New Roman" w:hAnsi="Times New Roman" w:cs="Times New Roman"/>
        </w:rPr>
        <w:t>Учредителю управления</w:t>
      </w:r>
      <w:r>
        <w:rPr>
          <w:rFonts w:ascii="Times New Roman" w:hAnsi="Times New Roman" w:cs="Times New Roman"/>
        </w:rPr>
        <w:t>,</w:t>
      </w:r>
      <w:r w:rsidRPr="009B0AD0">
        <w:rPr>
          <w:rFonts w:ascii="Times New Roman" w:hAnsi="Times New Roman" w:cs="Times New Roman"/>
        </w:rPr>
        <w:t xml:space="preserve"> по каким ценным бумагам он голосовал на общем собрании владельцев ценных бумаг</w:t>
      </w:r>
      <w:r>
        <w:rPr>
          <w:rFonts w:ascii="Times New Roman" w:hAnsi="Times New Roman" w:cs="Times New Roman"/>
        </w:rPr>
        <w:t>,</w:t>
      </w:r>
      <w:r w:rsidRPr="009B0AD0">
        <w:rPr>
          <w:rFonts w:ascii="Times New Roman" w:hAnsi="Times New Roman" w:cs="Times New Roman"/>
        </w:rPr>
        <w:t xml:space="preserve"> с указанием выбранного им варианта голосования по каждому вопросу повестки дня</w:t>
      </w:r>
      <w:r>
        <w:rPr>
          <w:rFonts w:ascii="Times New Roman" w:hAnsi="Times New Roman" w:cs="Times New Roman"/>
        </w:rPr>
        <w:t>.</w:t>
      </w:r>
    </w:p>
    <w:p w:rsidR="005907BA" w:rsidRDefault="005907BA" w:rsidP="008F63AA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244912" w:rsidRDefault="00244912" w:rsidP="008F63AA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5907BA" w:rsidRDefault="005907BA" w:rsidP="008F63A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5907BA">
        <w:rPr>
          <w:rFonts w:ascii="Times New Roman" w:hAnsi="Times New Roman" w:cs="Times New Roman"/>
          <w:b/>
        </w:rPr>
        <w:t>Осуществле</w:t>
      </w:r>
      <w:r w:rsidR="008F63AA">
        <w:rPr>
          <w:rFonts w:ascii="Times New Roman" w:hAnsi="Times New Roman" w:cs="Times New Roman"/>
          <w:b/>
        </w:rPr>
        <w:t>ние иных прав по ценным бумагам</w:t>
      </w:r>
    </w:p>
    <w:p w:rsidR="005907BA" w:rsidRPr="005907BA" w:rsidRDefault="005907BA" w:rsidP="008F63AA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5907BA" w:rsidRDefault="00961402" w:rsidP="008F63A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Доверительный управляющий</w:t>
      </w:r>
      <w:r w:rsidR="005907BA">
        <w:rPr>
          <w:rFonts w:ascii="Times New Roman" w:hAnsi="Times New Roman" w:cs="Times New Roman"/>
        </w:rPr>
        <w:t xml:space="preserve"> принимает решение о реализации прав</w:t>
      </w:r>
      <w:r w:rsidR="008F63AA">
        <w:rPr>
          <w:rFonts w:ascii="Times New Roman" w:hAnsi="Times New Roman" w:cs="Times New Roman"/>
        </w:rPr>
        <w:t>а</w:t>
      </w:r>
      <w:r w:rsidR="005907BA">
        <w:rPr>
          <w:rFonts w:ascii="Times New Roman" w:hAnsi="Times New Roman" w:cs="Times New Roman"/>
        </w:rPr>
        <w:t xml:space="preserve"> требовать от эмитента ценных бумаг (лица, обязанного по ценным бумагам) их выкупа (погашения), а также о реализации иных прав по ценным бумагам, руководствуясь принципом разумности и добросовестности, в том числе с учетом следующего:</w:t>
      </w:r>
    </w:p>
    <w:p w:rsidR="005907BA" w:rsidRDefault="005907BA" w:rsidP="008F63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Срока договора доверительного управления;</w:t>
      </w:r>
    </w:p>
    <w:p w:rsidR="005907BA" w:rsidRDefault="005907BA" w:rsidP="008F63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Инвестиционных целей </w:t>
      </w:r>
      <w:r w:rsidR="0096140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чредителя управления;</w:t>
      </w:r>
    </w:p>
    <w:p w:rsidR="005907BA" w:rsidRDefault="005907BA" w:rsidP="008F63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Оставшегося срока до выкупа (погашения) ценных бумаг;</w:t>
      </w:r>
    </w:p>
    <w:p w:rsidR="005907BA" w:rsidRDefault="005907BA" w:rsidP="008F63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состояния эмитента (лица, обязанного по ценным бумагам) и др.</w:t>
      </w:r>
    </w:p>
    <w:p w:rsidR="005907BA" w:rsidRPr="00CA6984" w:rsidRDefault="005907BA" w:rsidP="00CA6984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</w:t>
      </w:r>
      <w:r w:rsidRPr="009B0AD0">
        <w:rPr>
          <w:rFonts w:ascii="Times New Roman" w:hAnsi="Times New Roman" w:cs="Times New Roman"/>
        </w:rPr>
        <w:t>неисполнения эмитентом/лицом, выпустившим ценные бумаги</w:t>
      </w:r>
      <w:r w:rsidR="00244912">
        <w:rPr>
          <w:rFonts w:ascii="Times New Roman" w:hAnsi="Times New Roman" w:cs="Times New Roman"/>
        </w:rPr>
        <w:t>,</w:t>
      </w:r>
      <w:r w:rsidRPr="009B0AD0">
        <w:rPr>
          <w:rFonts w:ascii="Times New Roman" w:hAnsi="Times New Roman" w:cs="Times New Roman"/>
        </w:rPr>
        <w:t xml:space="preserve"> своих обязательств по ценным бумагам, Доверительный управляющий принимает меры по защите прав</w:t>
      </w:r>
      <w:r w:rsidR="00244912">
        <w:rPr>
          <w:rFonts w:ascii="Times New Roman" w:hAnsi="Times New Roman" w:cs="Times New Roman"/>
        </w:rPr>
        <w:t xml:space="preserve"> Учредителя управления</w:t>
      </w:r>
      <w:r w:rsidRPr="009B0AD0">
        <w:rPr>
          <w:rFonts w:ascii="Times New Roman" w:hAnsi="Times New Roman" w:cs="Times New Roman"/>
        </w:rPr>
        <w:t>, предоставляемых соответствующими ценными бумагами</w:t>
      </w:r>
      <w:r>
        <w:rPr>
          <w:rFonts w:ascii="Times New Roman" w:hAnsi="Times New Roman" w:cs="Times New Roman"/>
        </w:rPr>
        <w:t>.</w:t>
      </w:r>
    </w:p>
    <w:sectPr w:rsidR="005907BA" w:rsidRPr="00CA6984" w:rsidSect="0044128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FD" w:rsidRDefault="009304FD" w:rsidP="0044128E">
      <w:pPr>
        <w:spacing w:after="0" w:line="240" w:lineRule="auto"/>
      </w:pPr>
      <w:r>
        <w:separator/>
      </w:r>
    </w:p>
  </w:endnote>
  <w:endnote w:type="continuationSeparator" w:id="0">
    <w:p w:rsidR="009304FD" w:rsidRDefault="009304FD" w:rsidP="004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1380"/>
      <w:docPartObj>
        <w:docPartGallery w:val="Page Numbers (Bottom of Page)"/>
        <w:docPartUnique/>
      </w:docPartObj>
    </w:sdtPr>
    <w:sdtContent>
      <w:p w:rsidR="009304FD" w:rsidRDefault="00E17CD3">
        <w:pPr>
          <w:pStyle w:val="ab"/>
          <w:jc w:val="right"/>
        </w:pPr>
        <w:fldSimple w:instr=" PAGE   \* MERGEFORMAT ">
          <w:r w:rsidR="00CA6984">
            <w:rPr>
              <w:noProof/>
            </w:rPr>
            <w:t>5</w:t>
          </w:r>
        </w:fldSimple>
      </w:p>
    </w:sdtContent>
  </w:sdt>
  <w:p w:rsidR="009304FD" w:rsidRDefault="009304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FD" w:rsidRDefault="009304FD" w:rsidP="0044128E">
      <w:pPr>
        <w:spacing w:after="0" w:line="240" w:lineRule="auto"/>
      </w:pPr>
      <w:r>
        <w:separator/>
      </w:r>
    </w:p>
  </w:footnote>
  <w:footnote w:type="continuationSeparator" w:id="0">
    <w:p w:rsidR="009304FD" w:rsidRDefault="009304FD" w:rsidP="0044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99D"/>
    <w:multiLevelType w:val="hybridMultilevel"/>
    <w:tmpl w:val="D6BC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377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E66D6F"/>
    <w:multiLevelType w:val="hybridMultilevel"/>
    <w:tmpl w:val="F95A9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5509AE"/>
    <w:multiLevelType w:val="multilevel"/>
    <w:tmpl w:val="1E9CA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">
    <w:nsid w:val="2A332C06"/>
    <w:multiLevelType w:val="hybridMultilevel"/>
    <w:tmpl w:val="1ABCF8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E91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D432C7"/>
    <w:multiLevelType w:val="hybridMultilevel"/>
    <w:tmpl w:val="948C4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453E85"/>
    <w:multiLevelType w:val="hybridMultilevel"/>
    <w:tmpl w:val="69AC8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881931"/>
    <w:multiLevelType w:val="hybridMultilevel"/>
    <w:tmpl w:val="25D6E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E7618D"/>
    <w:multiLevelType w:val="hybridMultilevel"/>
    <w:tmpl w:val="52A4D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E0669"/>
    <w:multiLevelType w:val="hybridMultilevel"/>
    <w:tmpl w:val="1898016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7AD5172B"/>
    <w:multiLevelType w:val="hybridMultilevel"/>
    <w:tmpl w:val="F1027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7BA"/>
    <w:rsid w:val="000777E8"/>
    <w:rsid w:val="001C3892"/>
    <w:rsid w:val="001F7E3A"/>
    <w:rsid w:val="00244912"/>
    <w:rsid w:val="002921E0"/>
    <w:rsid w:val="00371C53"/>
    <w:rsid w:val="00387E24"/>
    <w:rsid w:val="00403E8B"/>
    <w:rsid w:val="004348C6"/>
    <w:rsid w:val="0044128E"/>
    <w:rsid w:val="004D563E"/>
    <w:rsid w:val="005034E7"/>
    <w:rsid w:val="005907BA"/>
    <w:rsid w:val="00643126"/>
    <w:rsid w:val="006A2383"/>
    <w:rsid w:val="006E2266"/>
    <w:rsid w:val="00715EDC"/>
    <w:rsid w:val="007956BE"/>
    <w:rsid w:val="00815AD8"/>
    <w:rsid w:val="0083245C"/>
    <w:rsid w:val="0088006D"/>
    <w:rsid w:val="008F63AA"/>
    <w:rsid w:val="009304FD"/>
    <w:rsid w:val="009535FD"/>
    <w:rsid w:val="00961402"/>
    <w:rsid w:val="00975A89"/>
    <w:rsid w:val="009778C3"/>
    <w:rsid w:val="009E3707"/>
    <w:rsid w:val="00AC23D3"/>
    <w:rsid w:val="00BB161B"/>
    <w:rsid w:val="00C115B1"/>
    <w:rsid w:val="00C76B95"/>
    <w:rsid w:val="00CA6984"/>
    <w:rsid w:val="00D03082"/>
    <w:rsid w:val="00D2104E"/>
    <w:rsid w:val="00D33463"/>
    <w:rsid w:val="00D406BA"/>
    <w:rsid w:val="00D8686B"/>
    <w:rsid w:val="00E17CD3"/>
    <w:rsid w:val="00E32353"/>
    <w:rsid w:val="00EC4268"/>
    <w:rsid w:val="00EE3942"/>
    <w:rsid w:val="00F9563E"/>
    <w:rsid w:val="00FF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07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76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76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686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4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128E"/>
  </w:style>
  <w:style w:type="paragraph" w:styleId="ab">
    <w:name w:val="footer"/>
    <w:basedOn w:val="a"/>
    <w:link w:val="ac"/>
    <w:uiPriority w:val="99"/>
    <w:unhideWhenUsed/>
    <w:rsid w:val="0044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28E"/>
  </w:style>
  <w:style w:type="character" w:customStyle="1" w:styleId="a4">
    <w:name w:val="Абзац списка Знак"/>
    <w:basedOn w:val="a0"/>
    <w:link w:val="a3"/>
    <w:uiPriority w:val="34"/>
    <w:locked/>
    <w:rsid w:val="00441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Лилия Евгеньевна</dc:creator>
  <cp:lastModifiedBy>Захаров Дмитрий Дмитриевич</cp:lastModifiedBy>
  <cp:revision>2</cp:revision>
  <cp:lastPrinted>2016-06-01T03:49:00Z</cp:lastPrinted>
  <dcterms:created xsi:type="dcterms:W3CDTF">2016-06-09T02:22:00Z</dcterms:created>
  <dcterms:modified xsi:type="dcterms:W3CDTF">2016-06-09T02:22:00Z</dcterms:modified>
</cp:coreProperties>
</file>