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6B104" w14:textId="77777777" w:rsidR="00940646" w:rsidRPr="001657F0" w:rsidRDefault="00940646" w:rsidP="00FA38F6">
      <w:pPr>
        <w:spacing w:after="0"/>
        <w:jc w:val="right"/>
        <w:rPr>
          <w:rFonts w:ascii="Times New Roman" w:hAnsi="Times New Roman" w:cs="Times New Roman"/>
          <w:b/>
        </w:rPr>
      </w:pPr>
      <w:r w:rsidRPr="001657F0">
        <w:rPr>
          <w:rFonts w:ascii="Times New Roman" w:hAnsi="Times New Roman" w:cs="Times New Roman"/>
          <w:b/>
        </w:rPr>
        <w:t xml:space="preserve">УТВЕРЖДЕНО </w:t>
      </w:r>
    </w:p>
    <w:p w14:paraId="74E1DD96" w14:textId="77777777" w:rsidR="00940646" w:rsidRPr="001657F0" w:rsidRDefault="00940646" w:rsidP="00FA38F6">
      <w:pPr>
        <w:spacing w:after="0"/>
        <w:jc w:val="right"/>
        <w:rPr>
          <w:rFonts w:ascii="Times New Roman" w:hAnsi="Times New Roman" w:cs="Times New Roman"/>
        </w:rPr>
      </w:pPr>
      <w:r w:rsidRPr="001657F0">
        <w:rPr>
          <w:rFonts w:ascii="Times New Roman" w:hAnsi="Times New Roman" w:cs="Times New Roman"/>
        </w:rPr>
        <w:t>Правлением АКБ «</w:t>
      </w:r>
      <w:proofErr w:type="spellStart"/>
      <w:r w:rsidRPr="001657F0">
        <w:rPr>
          <w:rFonts w:ascii="Times New Roman" w:hAnsi="Times New Roman" w:cs="Times New Roman"/>
        </w:rPr>
        <w:t>Алмазэргиэнбанк</w:t>
      </w:r>
      <w:proofErr w:type="spellEnd"/>
      <w:r w:rsidRPr="001657F0">
        <w:rPr>
          <w:rFonts w:ascii="Times New Roman" w:hAnsi="Times New Roman" w:cs="Times New Roman"/>
        </w:rPr>
        <w:t xml:space="preserve">» АО </w:t>
      </w:r>
    </w:p>
    <w:p w14:paraId="17FEBC81" w14:textId="57302A38" w:rsidR="00940646" w:rsidRPr="001657F0" w:rsidRDefault="00940646" w:rsidP="00FA38F6">
      <w:pPr>
        <w:spacing w:after="0"/>
        <w:jc w:val="right"/>
        <w:rPr>
          <w:rFonts w:ascii="Times New Roman" w:hAnsi="Times New Roman" w:cs="Times New Roman"/>
        </w:rPr>
      </w:pPr>
      <w:r w:rsidRPr="001657F0">
        <w:rPr>
          <w:rFonts w:ascii="Times New Roman" w:hAnsi="Times New Roman" w:cs="Times New Roman"/>
        </w:rPr>
        <w:t>Протокол от  «</w:t>
      </w:r>
      <w:r w:rsidR="00856252">
        <w:rPr>
          <w:rFonts w:ascii="Times New Roman" w:hAnsi="Times New Roman" w:cs="Times New Roman"/>
        </w:rPr>
        <w:t>26» мая 2020</w:t>
      </w:r>
      <w:r w:rsidRPr="001657F0">
        <w:rPr>
          <w:rFonts w:ascii="Times New Roman" w:hAnsi="Times New Roman" w:cs="Times New Roman"/>
        </w:rPr>
        <w:t xml:space="preserve"> г. №</w:t>
      </w:r>
      <w:r w:rsidR="00856252">
        <w:rPr>
          <w:rFonts w:ascii="Times New Roman" w:hAnsi="Times New Roman" w:cs="Times New Roman"/>
        </w:rPr>
        <w:t>85</w:t>
      </w:r>
    </w:p>
    <w:p w14:paraId="229261D4" w14:textId="77777777" w:rsidR="00940646" w:rsidRPr="001657F0" w:rsidRDefault="00940646" w:rsidP="00FA38F6">
      <w:pPr>
        <w:spacing w:after="0"/>
        <w:jc w:val="center"/>
        <w:rPr>
          <w:rFonts w:ascii="Times New Roman" w:hAnsi="Times New Roman" w:cs="Times New Roman"/>
          <w:b/>
          <w:sz w:val="32"/>
          <w:szCs w:val="32"/>
        </w:rPr>
      </w:pPr>
    </w:p>
    <w:p w14:paraId="64BFC7FF" w14:textId="77777777" w:rsidR="00940646" w:rsidRPr="001657F0" w:rsidRDefault="00940646" w:rsidP="00FA38F6">
      <w:pPr>
        <w:spacing w:after="0"/>
        <w:jc w:val="center"/>
        <w:rPr>
          <w:rFonts w:ascii="Times New Roman" w:hAnsi="Times New Roman" w:cs="Times New Roman"/>
          <w:b/>
          <w:sz w:val="32"/>
          <w:szCs w:val="32"/>
        </w:rPr>
      </w:pPr>
    </w:p>
    <w:p w14:paraId="2C687481" w14:textId="77777777" w:rsidR="00940646" w:rsidRPr="001657F0" w:rsidRDefault="00940646" w:rsidP="00FA38F6">
      <w:pPr>
        <w:spacing w:after="0"/>
        <w:jc w:val="center"/>
        <w:rPr>
          <w:rFonts w:ascii="Times New Roman" w:hAnsi="Times New Roman" w:cs="Times New Roman"/>
          <w:b/>
          <w:sz w:val="32"/>
          <w:szCs w:val="32"/>
        </w:rPr>
      </w:pPr>
    </w:p>
    <w:p w14:paraId="3E4A3DCC" w14:textId="77777777" w:rsidR="00940646" w:rsidRPr="001657F0" w:rsidRDefault="00940646" w:rsidP="00FA38F6">
      <w:pPr>
        <w:spacing w:after="0"/>
        <w:jc w:val="center"/>
        <w:rPr>
          <w:rFonts w:ascii="Times New Roman" w:hAnsi="Times New Roman" w:cs="Times New Roman"/>
          <w:b/>
          <w:sz w:val="32"/>
          <w:szCs w:val="32"/>
        </w:rPr>
      </w:pPr>
    </w:p>
    <w:p w14:paraId="41319925" w14:textId="77777777" w:rsidR="00940646" w:rsidRPr="001657F0" w:rsidRDefault="00940646" w:rsidP="00FA38F6">
      <w:pPr>
        <w:spacing w:after="0"/>
        <w:jc w:val="center"/>
        <w:rPr>
          <w:rFonts w:ascii="Times New Roman" w:hAnsi="Times New Roman" w:cs="Times New Roman"/>
          <w:b/>
          <w:sz w:val="32"/>
          <w:szCs w:val="32"/>
        </w:rPr>
      </w:pPr>
    </w:p>
    <w:p w14:paraId="26CCF8B5" w14:textId="77777777" w:rsidR="00940646" w:rsidRPr="001657F0" w:rsidRDefault="00940646" w:rsidP="00FA38F6">
      <w:pPr>
        <w:spacing w:after="0"/>
        <w:jc w:val="center"/>
        <w:rPr>
          <w:rFonts w:ascii="Times New Roman" w:hAnsi="Times New Roman" w:cs="Times New Roman"/>
          <w:b/>
          <w:sz w:val="32"/>
          <w:szCs w:val="32"/>
        </w:rPr>
      </w:pPr>
    </w:p>
    <w:p w14:paraId="206E108C" w14:textId="77777777" w:rsidR="00940646" w:rsidRPr="001657F0" w:rsidRDefault="00940646" w:rsidP="00FA38F6">
      <w:pPr>
        <w:spacing w:after="0"/>
        <w:jc w:val="center"/>
        <w:rPr>
          <w:rFonts w:ascii="Times New Roman" w:hAnsi="Times New Roman" w:cs="Times New Roman"/>
          <w:b/>
          <w:sz w:val="32"/>
          <w:szCs w:val="32"/>
        </w:rPr>
      </w:pPr>
    </w:p>
    <w:p w14:paraId="397D87B4" w14:textId="77777777" w:rsidR="00940646" w:rsidRPr="001657F0" w:rsidRDefault="00940646" w:rsidP="00FA38F6">
      <w:pPr>
        <w:spacing w:after="0"/>
        <w:jc w:val="center"/>
        <w:rPr>
          <w:rFonts w:ascii="Times New Roman" w:hAnsi="Times New Roman" w:cs="Times New Roman"/>
          <w:b/>
          <w:sz w:val="32"/>
          <w:szCs w:val="32"/>
        </w:rPr>
      </w:pPr>
    </w:p>
    <w:p w14:paraId="1FCBCAC0" w14:textId="77777777" w:rsidR="00940646" w:rsidRPr="001657F0" w:rsidRDefault="00AD6E6C" w:rsidP="00FA38F6">
      <w:pPr>
        <w:spacing w:after="0"/>
        <w:jc w:val="center"/>
        <w:rPr>
          <w:rFonts w:ascii="Times New Roman" w:hAnsi="Times New Roman" w:cs="Times New Roman"/>
          <w:b/>
          <w:sz w:val="32"/>
          <w:szCs w:val="32"/>
        </w:rPr>
      </w:pPr>
      <w:r w:rsidRPr="001657F0">
        <w:rPr>
          <w:rFonts w:ascii="Times New Roman" w:hAnsi="Times New Roman" w:cs="Times New Roman"/>
          <w:b/>
          <w:sz w:val="32"/>
          <w:szCs w:val="32"/>
        </w:rPr>
        <w:t>Политика</w:t>
      </w:r>
    </w:p>
    <w:p w14:paraId="682DF0BA" w14:textId="77777777" w:rsidR="00620927" w:rsidRPr="001657F0" w:rsidRDefault="00940646" w:rsidP="00FA38F6">
      <w:pPr>
        <w:spacing w:after="0"/>
        <w:jc w:val="center"/>
        <w:rPr>
          <w:rFonts w:ascii="Times New Roman" w:hAnsi="Times New Roman" w:cs="Times New Roman"/>
          <w:b/>
          <w:sz w:val="32"/>
          <w:szCs w:val="32"/>
        </w:rPr>
      </w:pPr>
      <w:r w:rsidRPr="001657F0">
        <w:rPr>
          <w:rFonts w:ascii="Times New Roman" w:hAnsi="Times New Roman" w:cs="Times New Roman"/>
          <w:b/>
          <w:sz w:val="32"/>
          <w:szCs w:val="32"/>
        </w:rPr>
        <w:t>совершения торговых операций за счет Клиентов</w:t>
      </w:r>
    </w:p>
    <w:p w14:paraId="45790CA0" w14:textId="77777777" w:rsidR="00940646" w:rsidRPr="001657F0" w:rsidRDefault="00940646" w:rsidP="00FA38F6">
      <w:pPr>
        <w:spacing w:after="0"/>
        <w:jc w:val="center"/>
        <w:rPr>
          <w:rFonts w:ascii="Times New Roman" w:hAnsi="Times New Roman" w:cs="Times New Roman"/>
          <w:b/>
          <w:sz w:val="32"/>
          <w:szCs w:val="32"/>
        </w:rPr>
      </w:pPr>
      <w:r w:rsidRPr="001657F0">
        <w:rPr>
          <w:rFonts w:ascii="Times New Roman" w:hAnsi="Times New Roman" w:cs="Times New Roman"/>
          <w:b/>
          <w:sz w:val="32"/>
          <w:szCs w:val="32"/>
        </w:rPr>
        <w:t>№618-ПК</w:t>
      </w:r>
    </w:p>
    <w:p w14:paraId="038A11F5" w14:textId="1F7AA09B" w:rsidR="00AD6E6C" w:rsidRPr="0056475F" w:rsidRDefault="0056475F" w:rsidP="00FA38F6">
      <w:pPr>
        <w:spacing w:after="0"/>
        <w:jc w:val="center"/>
        <w:rPr>
          <w:rFonts w:ascii="Times New Roman" w:hAnsi="Times New Roman" w:cs="Times New Roman"/>
          <w:i/>
          <w:color w:val="0033CC"/>
        </w:rPr>
      </w:pPr>
      <w:r w:rsidRPr="0056475F">
        <w:rPr>
          <w:rFonts w:ascii="Times New Roman" w:hAnsi="Times New Roman" w:cs="Times New Roman"/>
          <w:i/>
          <w:color w:val="0033CC"/>
        </w:rPr>
        <w:t>(в ред.Изм.№1 от 17.12.2021)</w:t>
      </w:r>
    </w:p>
    <w:p w14:paraId="61A67238" w14:textId="43D89BFD" w:rsidR="0056475F" w:rsidRDefault="0056475F" w:rsidP="00FA38F6">
      <w:pPr>
        <w:spacing w:after="0"/>
        <w:jc w:val="center"/>
        <w:rPr>
          <w:rFonts w:ascii="Times New Roman" w:hAnsi="Times New Roman" w:cs="Times New Roman"/>
          <w:i/>
        </w:rPr>
      </w:pPr>
    </w:p>
    <w:p w14:paraId="67E51140" w14:textId="1CB616A1" w:rsidR="0056475F" w:rsidRDefault="0056475F" w:rsidP="00FA38F6">
      <w:pPr>
        <w:spacing w:after="0"/>
        <w:jc w:val="center"/>
        <w:rPr>
          <w:rFonts w:ascii="Times New Roman" w:hAnsi="Times New Roman" w:cs="Times New Roman"/>
          <w:i/>
        </w:rPr>
      </w:pPr>
    </w:p>
    <w:p w14:paraId="108ED9E9" w14:textId="4D342648" w:rsidR="0056475F" w:rsidRDefault="0056475F" w:rsidP="00FA38F6">
      <w:pPr>
        <w:spacing w:after="0"/>
        <w:jc w:val="center"/>
        <w:rPr>
          <w:rFonts w:ascii="Times New Roman" w:hAnsi="Times New Roman" w:cs="Times New Roman"/>
          <w:i/>
        </w:rPr>
      </w:pPr>
    </w:p>
    <w:p w14:paraId="64AD77FD" w14:textId="6DE10AF6" w:rsidR="0056475F" w:rsidRDefault="0056475F" w:rsidP="00FA38F6">
      <w:pPr>
        <w:spacing w:after="0"/>
        <w:jc w:val="center"/>
        <w:rPr>
          <w:rFonts w:ascii="Times New Roman" w:hAnsi="Times New Roman" w:cs="Times New Roman"/>
          <w:i/>
        </w:rPr>
      </w:pPr>
    </w:p>
    <w:p w14:paraId="6D6E6857" w14:textId="77AB69BE" w:rsidR="0056475F" w:rsidRDefault="0056475F" w:rsidP="00FA38F6">
      <w:pPr>
        <w:spacing w:after="0"/>
        <w:jc w:val="center"/>
        <w:rPr>
          <w:rFonts w:ascii="Times New Roman" w:hAnsi="Times New Roman" w:cs="Times New Roman"/>
          <w:i/>
        </w:rPr>
      </w:pPr>
    </w:p>
    <w:p w14:paraId="060487E7" w14:textId="58D7FDF3" w:rsidR="0056475F" w:rsidRDefault="0056475F" w:rsidP="00FA38F6">
      <w:pPr>
        <w:spacing w:after="0"/>
        <w:jc w:val="center"/>
        <w:rPr>
          <w:rFonts w:ascii="Times New Roman" w:hAnsi="Times New Roman" w:cs="Times New Roman"/>
          <w:i/>
        </w:rPr>
      </w:pPr>
    </w:p>
    <w:p w14:paraId="713630C9" w14:textId="77777777" w:rsidR="0056475F" w:rsidRDefault="0056475F" w:rsidP="00FA38F6">
      <w:pPr>
        <w:spacing w:after="0"/>
        <w:jc w:val="center"/>
        <w:rPr>
          <w:rFonts w:ascii="Times New Roman" w:hAnsi="Times New Roman" w:cs="Times New Roman"/>
          <w:i/>
        </w:rPr>
      </w:pPr>
    </w:p>
    <w:p w14:paraId="6A6B9B37" w14:textId="77777777" w:rsidR="0056475F" w:rsidRPr="0056475F" w:rsidRDefault="0056475F" w:rsidP="00FA38F6">
      <w:pPr>
        <w:spacing w:after="0"/>
        <w:jc w:val="center"/>
        <w:rPr>
          <w:rFonts w:ascii="Times New Roman" w:hAnsi="Times New Roman" w:cs="Times New Roman"/>
          <w:i/>
        </w:rPr>
      </w:pPr>
    </w:p>
    <w:tbl>
      <w:tblPr>
        <w:tblStyle w:val="a3"/>
        <w:tblW w:w="5103"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tblGrid>
      <w:tr w:rsidR="001657F0" w:rsidRPr="001657F0" w14:paraId="312A33E1" w14:textId="77777777" w:rsidTr="00940646">
        <w:tc>
          <w:tcPr>
            <w:tcW w:w="2551" w:type="dxa"/>
          </w:tcPr>
          <w:p w14:paraId="62DF83D9" w14:textId="77777777" w:rsidR="00940646" w:rsidRPr="001657F0" w:rsidRDefault="00940646" w:rsidP="00FA38F6">
            <w:pPr>
              <w:spacing w:line="259" w:lineRule="auto"/>
              <w:rPr>
                <w:rFonts w:ascii="Times New Roman" w:hAnsi="Times New Roman" w:cs="Times New Roman"/>
                <w:b/>
                <w:sz w:val="20"/>
                <w:szCs w:val="20"/>
              </w:rPr>
            </w:pPr>
            <w:r w:rsidRPr="001657F0">
              <w:rPr>
                <w:rFonts w:ascii="Times New Roman" w:hAnsi="Times New Roman" w:cs="Times New Roman"/>
                <w:b/>
                <w:sz w:val="20"/>
                <w:szCs w:val="20"/>
              </w:rPr>
              <w:t>Владелец документа</w:t>
            </w:r>
          </w:p>
        </w:tc>
        <w:tc>
          <w:tcPr>
            <w:tcW w:w="2552" w:type="dxa"/>
          </w:tcPr>
          <w:p w14:paraId="33D1FD3D" w14:textId="77777777" w:rsidR="00940646" w:rsidRPr="001657F0" w:rsidRDefault="00940646" w:rsidP="00FA38F6">
            <w:pPr>
              <w:pStyle w:val="a4"/>
              <w:numPr>
                <w:ilvl w:val="0"/>
                <w:numId w:val="1"/>
              </w:numPr>
              <w:spacing w:line="259" w:lineRule="auto"/>
              <w:ind w:left="361" w:hanging="284"/>
              <w:rPr>
                <w:rFonts w:ascii="Times New Roman" w:hAnsi="Times New Roman" w:cs="Times New Roman"/>
                <w:sz w:val="20"/>
                <w:szCs w:val="20"/>
              </w:rPr>
            </w:pPr>
            <w:r w:rsidRPr="001657F0">
              <w:rPr>
                <w:rFonts w:ascii="Times New Roman" w:hAnsi="Times New Roman" w:cs="Times New Roman"/>
                <w:sz w:val="20"/>
                <w:szCs w:val="20"/>
              </w:rPr>
              <w:t>Начальник  Подразделения  по  ценным бумагам</w:t>
            </w:r>
          </w:p>
          <w:p w14:paraId="19ECEC19" w14:textId="77777777" w:rsidR="00940646" w:rsidRPr="001657F0" w:rsidRDefault="00940646" w:rsidP="00FA38F6">
            <w:pPr>
              <w:pStyle w:val="a4"/>
              <w:spacing w:line="259" w:lineRule="auto"/>
              <w:ind w:left="361"/>
              <w:rPr>
                <w:rFonts w:ascii="Times New Roman" w:hAnsi="Times New Roman" w:cs="Times New Roman"/>
                <w:sz w:val="20"/>
                <w:szCs w:val="20"/>
              </w:rPr>
            </w:pPr>
          </w:p>
        </w:tc>
      </w:tr>
      <w:tr w:rsidR="001657F0" w:rsidRPr="001657F0" w14:paraId="147B95A5" w14:textId="77777777" w:rsidTr="00940646">
        <w:tc>
          <w:tcPr>
            <w:tcW w:w="2551" w:type="dxa"/>
          </w:tcPr>
          <w:p w14:paraId="3B150C71" w14:textId="77777777" w:rsidR="00940646" w:rsidRPr="001657F0" w:rsidRDefault="00940646" w:rsidP="00FA38F6">
            <w:pPr>
              <w:spacing w:line="259" w:lineRule="auto"/>
              <w:rPr>
                <w:rFonts w:ascii="Times New Roman" w:hAnsi="Times New Roman" w:cs="Times New Roman"/>
                <w:b/>
                <w:sz w:val="20"/>
                <w:szCs w:val="20"/>
              </w:rPr>
            </w:pPr>
            <w:r w:rsidRPr="001657F0">
              <w:rPr>
                <w:rFonts w:ascii="Times New Roman" w:hAnsi="Times New Roman" w:cs="Times New Roman"/>
                <w:b/>
                <w:sz w:val="20"/>
                <w:szCs w:val="20"/>
              </w:rPr>
              <w:t>Задействованные подразделения</w:t>
            </w:r>
          </w:p>
          <w:p w14:paraId="318B0C64" w14:textId="77777777" w:rsidR="00940646" w:rsidRPr="001657F0" w:rsidRDefault="00940646" w:rsidP="00FA38F6">
            <w:pPr>
              <w:spacing w:line="259" w:lineRule="auto"/>
              <w:rPr>
                <w:rFonts w:ascii="Times New Roman" w:hAnsi="Times New Roman" w:cs="Times New Roman"/>
                <w:b/>
                <w:sz w:val="20"/>
                <w:szCs w:val="20"/>
              </w:rPr>
            </w:pPr>
          </w:p>
        </w:tc>
        <w:tc>
          <w:tcPr>
            <w:tcW w:w="2552" w:type="dxa"/>
          </w:tcPr>
          <w:p w14:paraId="3E671ACA" w14:textId="77777777" w:rsidR="00940646" w:rsidRPr="001657F0" w:rsidRDefault="00940646" w:rsidP="00FA38F6">
            <w:pPr>
              <w:pStyle w:val="a4"/>
              <w:spacing w:line="259" w:lineRule="auto"/>
              <w:ind w:left="361"/>
              <w:rPr>
                <w:rFonts w:ascii="Times New Roman" w:hAnsi="Times New Roman" w:cs="Times New Roman"/>
                <w:sz w:val="20"/>
                <w:szCs w:val="20"/>
              </w:rPr>
            </w:pPr>
            <w:r w:rsidRPr="001657F0">
              <w:rPr>
                <w:rFonts w:ascii="Times New Roman" w:hAnsi="Times New Roman" w:cs="Times New Roman"/>
                <w:sz w:val="20"/>
                <w:szCs w:val="20"/>
              </w:rPr>
              <w:t>-</w:t>
            </w:r>
          </w:p>
        </w:tc>
      </w:tr>
      <w:tr w:rsidR="001657F0" w:rsidRPr="001657F0" w14:paraId="33557001" w14:textId="77777777" w:rsidTr="00940646">
        <w:tc>
          <w:tcPr>
            <w:tcW w:w="2551" w:type="dxa"/>
          </w:tcPr>
          <w:p w14:paraId="6428A1BF" w14:textId="77777777" w:rsidR="00940646" w:rsidRPr="001657F0" w:rsidRDefault="00940646" w:rsidP="00FA38F6">
            <w:pPr>
              <w:spacing w:line="259" w:lineRule="auto"/>
              <w:rPr>
                <w:rFonts w:ascii="Times New Roman" w:hAnsi="Times New Roman" w:cs="Times New Roman"/>
                <w:b/>
                <w:sz w:val="20"/>
                <w:szCs w:val="20"/>
              </w:rPr>
            </w:pPr>
            <w:r w:rsidRPr="001657F0">
              <w:rPr>
                <w:rFonts w:ascii="Times New Roman" w:hAnsi="Times New Roman" w:cs="Times New Roman"/>
                <w:b/>
                <w:sz w:val="20"/>
                <w:szCs w:val="20"/>
              </w:rPr>
              <w:t>Разработчик(-и) редакции документа</w:t>
            </w:r>
          </w:p>
        </w:tc>
        <w:tc>
          <w:tcPr>
            <w:tcW w:w="2552" w:type="dxa"/>
          </w:tcPr>
          <w:p w14:paraId="05D20F2E" w14:textId="77777777" w:rsidR="00940646" w:rsidRPr="001657F0" w:rsidRDefault="00940646" w:rsidP="00FA38F6">
            <w:pPr>
              <w:pStyle w:val="a4"/>
              <w:numPr>
                <w:ilvl w:val="0"/>
                <w:numId w:val="1"/>
              </w:numPr>
              <w:spacing w:line="259" w:lineRule="auto"/>
              <w:ind w:left="361" w:hanging="284"/>
              <w:rPr>
                <w:rFonts w:ascii="Times New Roman" w:hAnsi="Times New Roman" w:cs="Times New Roman"/>
                <w:sz w:val="20"/>
                <w:szCs w:val="20"/>
              </w:rPr>
            </w:pPr>
            <w:r w:rsidRPr="001657F0">
              <w:rPr>
                <w:rFonts w:ascii="Times New Roman" w:hAnsi="Times New Roman" w:cs="Times New Roman"/>
                <w:sz w:val="20"/>
                <w:szCs w:val="20"/>
              </w:rPr>
              <w:t>Служба методологического обеспечения бизнеса: Мохначевская  Е.С.</w:t>
            </w:r>
          </w:p>
          <w:p w14:paraId="669D15AD" w14:textId="77777777" w:rsidR="00940646" w:rsidRPr="001657F0" w:rsidRDefault="00940646" w:rsidP="00FA38F6">
            <w:pPr>
              <w:pStyle w:val="a4"/>
              <w:spacing w:line="259" w:lineRule="auto"/>
              <w:ind w:left="361"/>
              <w:rPr>
                <w:rFonts w:ascii="Times New Roman" w:hAnsi="Times New Roman" w:cs="Times New Roman"/>
                <w:sz w:val="20"/>
                <w:szCs w:val="20"/>
              </w:rPr>
            </w:pPr>
          </w:p>
        </w:tc>
      </w:tr>
      <w:tr w:rsidR="00940646" w:rsidRPr="001657F0" w14:paraId="3400888C" w14:textId="77777777" w:rsidTr="00940646">
        <w:tc>
          <w:tcPr>
            <w:tcW w:w="2551" w:type="dxa"/>
          </w:tcPr>
          <w:p w14:paraId="6FB6AE40" w14:textId="77777777" w:rsidR="00940646" w:rsidRPr="001657F0" w:rsidRDefault="00940646" w:rsidP="00FA38F6">
            <w:pPr>
              <w:spacing w:line="259" w:lineRule="auto"/>
              <w:rPr>
                <w:rFonts w:ascii="Times New Roman" w:hAnsi="Times New Roman" w:cs="Times New Roman"/>
                <w:b/>
                <w:sz w:val="20"/>
                <w:szCs w:val="20"/>
              </w:rPr>
            </w:pPr>
            <w:r w:rsidRPr="001657F0">
              <w:rPr>
                <w:rFonts w:ascii="Times New Roman" w:hAnsi="Times New Roman" w:cs="Times New Roman"/>
                <w:b/>
                <w:sz w:val="20"/>
                <w:szCs w:val="20"/>
              </w:rPr>
              <w:t xml:space="preserve">Версия документа </w:t>
            </w:r>
          </w:p>
        </w:tc>
        <w:tc>
          <w:tcPr>
            <w:tcW w:w="2552" w:type="dxa"/>
          </w:tcPr>
          <w:p w14:paraId="4E47CFED" w14:textId="77777777" w:rsidR="00940646" w:rsidRPr="001657F0" w:rsidRDefault="00940646" w:rsidP="00FA38F6">
            <w:pPr>
              <w:pStyle w:val="a4"/>
              <w:numPr>
                <w:ilvl w:val="0"/>
                <w:numId w:val="1"/>
              </w:numPr>
              <w:spacing w:line="259" w:lineRule="auto"/>
              <w:ind w:left="361" w:hanging="284"/>
              <w:rPr>
                <w:rFonts w:ascii="Times New Roman" w:hAnsi="Times New Roman" w:cs="Times New Roman"/>
                <w:sz w:val="20"/>
                <w:szCs w:val="20"/>
              </w:rPr>
            </w:pPr>
            <w:r w:rsidRPr="001657F0">
              <w:rPr>
                <w:rFonts w:ascii="Times New Roman" w:hAnsi="Times New Roman" w:cs="Times New Roman"/>
                <w:sz w:val="20"/>
                <w:szCs w:val="20"/>
              </w:rPr>
              <w:t>1.0</w:t>
            </w:r>
          </w:p>
        </w:tc>
      </w:tr>
    </w:tbl>
    <w:p w14:paraId="13832759" w14:textId="77777777" w:rsidR="00940646" w:rsidRPr="001657F0" w:rsidRDefault="00940646" w:rsidP="00FA38F6">
      <w:pPr>
        <w:spacing w:after="0"/>
        <w:jc w:val="center"/>
        <w:rPr>
          <w:rFonts w:ascii="Times New Roman" w:hAnsi="Times New Roman" w:cs="Times New Roman"/>
          <w:b/>
          <w:sz w:val="32"/>
          <w:szCs w:val="32"/>
        </w:rPr>
      </w:pPr>
    </w:p>
    <w:p w14:paraId="2989358F" w14:textId="77777777" w:rsidR="00940646" w:rsidRPr="001657F0" w:rsidRDefault="00940646" w:rsidP="00FA38F6">
      <w:pPr>
        <w:spacing w:after="0"/>
        <w:jc w:val="center"/>
        <w:rPr>
          <w:rFonts w:ascii="Times New Roman" w:hAnsi="Times New Roman" w:cs="Times New Roman"/>
          <w:b/>
          <w:sz w:val="32"/>
          <w:szCs w:val="32"/>
        </w:rPr>
      </w:pPr>
    </w:p>
    <w:p w14:paraId="0FD87995" w14:textId="77777777" w:rsidR="00940646" w:rsidRPr="001657F0" w:rsidRDefault="00940646" w:rsidP="00FA38F6">
      <w:pPr>
        <w:spacing w:after="0"/>
        <w:jc w:val="center"/>
        <w:rPr>
          <w:rFonts w:ascii="Times New Roman" w:hAnsi="Times New Roman" w:cs="Times New Roman"/>
          <w:b/>
          <w:sz w:val="32"/>
          <w:szCs w:val="32"/>
        </w:rPr>
      </w:pPr>
    </w:p>
    <w:p w14:paraId="7EBCF94E" w14:textId="77777777" w:rsidR="00940646" w:rsidRPr="001657F0" w:rsidRDefault="00940646" w:rsidP="00FA38F6">
      <w:pPr>
        <w:spacing w:after="0"/>
        <w:jc w:val="center"/>
        <w:rPr>
          <w:rFonts w:ascii="Times New Roman" w:hAnsi="Times New Roman" w:cs="Times New Roman"/>
          <w:b/>
          <w:sz w:val="32"/>
          <w:szCs w:val="32"/>
        </w:rPr>
      </w:pPr>
    </w:p>
    <w:p w14:paraId="32B51DAC" w14:textId="77777777" w:rsidR="00940646" w:rsidRPr="001657F0" w:rsidRDefault="00940646" w:rsidP="00FA38F6">
      <w:pPr>
        <w:spacing w:after="0"/>
        <w:jc w:val="center"/>
        <w:rPr>
          <w:rFonts w:ascii="Times New Roman" w:hAnsi="Times New Roman" w:cs="Times New Roman"/>
          <w:b/>
          <w:sz w:val="32"/>
          <w:szCs w:val="32"/>
        </w:rPr>
      </w:pPr>
    </w:p>
    <w:p w14:paraId="1D32C506" w14:textId="24CBAE7A" w:rsidR="00FA38F6" w:rsidRDefault="00FA38F6" w:rsidP="00FA38F6">
      <w:pPr>
        <w:spacing w:after="0"/>
        <w:jc w:val="center"/>
        <w:rPr>
          <w:rFonts w:ascii="Times New Roman" w:hAnsi="Times New Roman" w:cs="Times New Roman"/>
          <w:b/>
          <w:sz w:val="32"/>
          <w:szCs w:val="32"/>
        </w:rPr>
      </w:pPr>
    </w:p>
    <w:p w14:paraId="34F14714" w14:textId="77777777" w:rsidR="0056475F" w:rsidRDefault="0056475F" w:rsidP="00FA38F6">
      <w:pPr>
        <w:spacing w:after="0"/>
        <w:jc w:val="center"/>
        <w:rPr>
          <w:rFonts w:ascii="Times New Roman" w:hAnsi="Times New Roman" w:cs="Times New Roman"/>
          <w:b/>
          <w:sz w:val="32"/>
          <w:szCs w:val="32"/>
        </w:rPr>
      </w:pPr>
    </w:p>
    <w:p w14:paraId="7B256D00" w14:textId="77777777" w:rsidR="00694874" w:rsidRPr="001657F0" w:rsidRDefault="00694874" w:rsidP="00FA38F6">
      <w:pPr>
        <w:spacing w:after="0"/>
        <w:jc w:val="center"/>
        <w:rPr>
          <w:rFonts w:ascii="Times New Roman" w:hAnsi="Times New Roman" w:cs="Times New Roman"/>
          <w:b/>
          <w:sz w:val="32"/>
          <w:szCs w:val="32"/>
        </w:rPr>
      </w:pPr>
    </w:p>
    <w:p w14:paraId="3FBD4B53" w14:textId="77777777" w:rsidR="00FA38F6" w:rsidRPr="001657F0" w:rsidRDefault="00FA38F6" w:rsidP="00FA38F6">
      <w:pPr>
        <w:spacing w:after="0"/>
        <w:jc w:val="center"/>
        <w:rPr>
          <w:rFonts w:ascii="Times New Roman" w:hAnsi="Times New Roman" w:cs="Times New Roman"/>
          <w:b/>
          <w:sz w:val="32"/>
          <w:szCs w:val="32"/>
        </w:rPr>
      </w:pPr>
    </w:p>
    <w:p w14:paraId="5BFF8851" w14:textId="77777777" w:rsidR="00940646" w:rsidRPr="001657F0" w:rsidRDefault="00940646" w:rsidP="00FA38F6">
      <w:pPr>
        <w:spacing w:after="0"/>
        <w:jc w:val="center"/>
        <w:rPr>
          <w:rFonts w:ascii="Times New Roman" w:hAnsi="Times New Roman" w:cs="Times New Roman"/>
          <w:b/>
          <w:sz w:val="24"/>
          <w:szCs w:val="24"/>
        </w:rPr>
      </w:pPr>
      <w:r w:rsidRPr="001657F0">
        <w:rPr>
          <w:rFonts w:ascii="Times New Roman" w:hAnsi="Times New Roman" w:cs="Times New Roman"/>
          <w:b/>
          <w:sz w:val="24"/>
          <w:szCs w:val="24"/>
        </w:rPr>
        <w:t>Якутск</w:t>
      </w:r>
    </w:p>
    <w:p w14:paraId="751D6B1B" w14:textId="77777777" w:rsidR="00940646" w:rsidRPr="001657F0" w:rsidRDefault="00940646" w:rsidP="00FA38F6">
      <w:pPr>
        <w:spacing w:after="0"/>
        <w:jc w:val="center"/>
        <w:rPr>
          <w:rFonts w:ascii="Times New Roman" w:hAnsi="Times New Roman" w:cs="Times New Roman"/>
          <w:b/>
          <w:sz w:val="24"/>
          <w:szCs w:val="24"/>
        </w:rPr>
      </w:pPr>
      <w:r w:rsidRPr="001657F0">
        <w:rPr>
          <w:rFonts w:ascii="Times New Roman" w:hAnsi="Times New Roman" w:cs="Times New Roman"/>
          <w:b/>
          <w:sz w:val="24"/>
          <w:szCs w:val="24"/>
        </w:rPr>
        <w:t>2020</w:t>
      </w:r>
    </w:p>
    <w:p w14:paraId="78DC86BC" w14:textId="10974957" w:rsidR="00940646" w:rsidRPr="001657F0" w:rsidRDefault="00940646" w:rsidP="00B82DBE">
      <w:pPr>
        <w:spacing w:after="0"/>
        <w:ind w:firstLine="708"/>
        <w:jc w:val="both"/>
        <w:rPr>
          <w:rFonts w:ascii="Times New Roman" w:hAnsi="Times New Roman" w:cs="Times New Roman"/>
        </w:rPr>
      </w:pPr>
      <w:r w:rsidRPr="001657F0">
        <w:rPr>
          <w:rFonts w:ascii="Times New Roman" w:hAnsi="Times New Roman" w:cs="Times New Roman"/>
        </w:rPr>
        <w:lastRenderedPageBreak/>
        <w:t xml:space="preserve">Настоящая Политика совершения торговых операций за счет Клиентов (далее – Политика) разработана в соответствии с Федеральным законом от 22.04.1996 №39-ФЗ «О рынке ценных бумаг», </w:t>
      </w:r>
      <w:r w:rsidR="00B82DBE">
        <w:rPr>
          <w:rFonts w:ascii="Times New Roman" w:hAnsi="Times New Roman" w:cs="Times New Roman"/>
        </w:rPr>
        <w:t xml:space="preserve"> </w:t>
      </w:r>
      <w:r w:rsidRPr="001657F0">
        <w:rPr>
          <w:rFonts w:ascii="Times New Roman" w:hAnsi="Times New Roman" w:cs="Times New Roman"/>
        </w:rPr>
        <w:t>Базовым стандартом совершения брокером операций на финансовом рынке, утв</w:t>
      </w:r>
      <w:r w:rsidR="00B82DBE">
        <w:rPr>
          <w:rFonts w:ascii="Times New Roman" w:hAnsi="Times New Roman" w:cs="Times New Roman"/>
        </w:rPr>
        <w:t xml:space="preserve">ержденным Банком России </w:t>
      </w:r>
      <w:r w:rsidRPr="001657F0">
        <w:rPr>
          <w:rFonts w:ascii="Times New Roman" w:hAnsi="Times New Roman" w:cs="Times New Roman"/>
        </w:rPr>
        <w:t xml:space="preserve">от </w:t>
      </w:r>
      <w:r w:rsidR="009F592D">
        <w:rPr>
          <w:rFonts w:ascii="Times New Roman" w:hAnsi="Times New Roman" w:cs="Times New Roman"/>
        </w:rPr>
        <w:t xml:space="preserve">19.01.2018 (Протокол  №КФНП-1). </w:t>
      </w:r>
    </w:p>
    <w:p w14:paraId="3F29C5BF" w14:textId="77777777" w:rsidR="00940646" w:rsidRPr="001657F0" w:rsidRDefault="00940646" w:rsidP="00FA38F6">
      <w:pPr>
        <w:spacing w:after="0"/>
        <w:jc w:val="both"/>
        <w:rPr>
          <w:rFonts w:ascii="Times New Roman" w:hAnsi="Times New Roman" w:cs="Times New Roman"/>
        </w:rPr>
      </w:pPr>
    </w:p>
    <w:p w14:paraId="4093F625" w14:textId="5EF55C3A" w:rsidR="00FA38F6" w:rsidRPr="001657F0" w:rsidRDefault="00C6275D" w:rsidP="00C6275D">
      <w:pPr>
        <w:spacing w:after="0"/>
        <w:jc w:val="both"/>
        <w:rPr>
          <w:rFonts w:ascii="Times New Roman" w:hAnsi="Times New Roman" w:cs="Times New Roman"/>
        </w:rPr>
      </w:pPr>
      <w:r w:rsidRPr="001657F0">
        <w:rPr>
          <w:rFonts w:ascii="Times New Roman" w:hAnsi="Times New Roman" w:cs="Times New Roman"/>
        </w:rPr>
        <w:t xml:space="preserve"> </w:t>
      </w:r>
    </w:p>
    <w:p w14:paraId="0756C768" w14:textId="77777777" w:rsidR="00732DF3" w:rsidRPr="001657F0" w:rsidRDefault="00732DF3" w:rsidP="00FA38F6">
      <w:pPr>
        <w:pStyle w:val="a4"/>
        <w:numPr>
          <w:ilvl w:val="0"/>
          <w:numId w:val="26"/>
        </w:numPr>
        <w:spacing w:after="0"/>
        <w:jc w:val="center"/>
        <w:rPr>
          <w:rFonts w:ascii="Times New Roman" w:hAnsi="Times New Roman" w:cs="Times New Roman"/>
          <w:b/>
        </w:rPr>
      </w:pPr>
      <w:r w:rsidRPr="001657F0">
        <w:rPr>
          <w:rFonts w:ascii="Times New Roman" w:hAnsi="Times New Roman" w:cs="Times New Roman"/>
          <w:b/>
        </w:rPr>
        <w:t>Термины и определения</w:t>
      </w:r>
    </w:p>
    <w:p w14:paraId="272C8BB8" w14:textId="77777777" w:rsidR="00FA38F6" w:rsidRPr="001657F0" w:rsidRDefault="00FA38F6" w:rsidP="00FA38F6">
      <w:pPr>
        <w:pStyle w:val="a4"/>
        <w:spacing w:after="0"/>
        <w:rPr>
          <w:rFonts w:ascii="Times New Roman" w:hAnsi="Times New Roman" w:cs="Times New Roman"/>
          <w:b/>
        </w:rPr>
      </w:pPr>
    </w:p>
    <w:p w14:paraId="72F8C864" w14:textId="77777777" w:rsidR="00732DF3" w:rsidRPr="001657F0" w:rsidRDefault="00732DF3" w:rsidP="00FA38F6">
      <w:pPr>
        <w:pStyle w:val="a4"/>
        <w:numPr>
          <w:ilvl w:val="0"/>
          <w:numId w:val="8"/>
        </w:numPr>
        <w:spacing w:after="0"/>
        <w:ind w:left="426" w:hanging="426"/>
        <w:jc w:val="both"/>
        <w:rPr>
          <w:rFonts w:ascii="Times New Roman" w:hAnsi="Times New Roman" w:cs="Times New Roman"/>
        </w:rPr>
      </w:pPr>
      <w:r w:rsidRPr="001657F0">
        <w:rPr>
          <w:rFonts w:ascii="Times New Roman" w:hAnsi="Times New Roman" w:cs="Times New Roman"/>
        </w:rPr>
        <w:t xml:space="preserve">Термины, используемые в настоящем документе, имеют следующие значения: </w:t>
      </w:r>
    </w:p>
    <w:p w14:paraId="4D2C8728" w14:textId="77777777" w:rsidR="00732DF3" w:rsidRPr="001657F0" w:rsidRDefault="00732DF3" w:rsidP="00FA38F6">
      <w:pPr>
        <w:spacing w:after="0"/>
        <w:jc w:val="both"/>
        <w:rPr>
          <w:rFonts w:ascii="Times New Roman" w:hAnsi="Times New Roman" w:cs="Times New Roman"/>
        </w:rPr>
      </w:pPr>
      <w:r w:rsidRPr="001657F0">
        <w:rPr>
          <w:rFonts w:ascii="Times New Roman" w:hAnsi="Times New Roman" w:cs="Times New Roman"/>
          <w:b/>
        </w:rPr>
        <w:t xml:space="preserve">Базовый </w:t>
      </w:r>
      <w:r w:rsidR="005C06EB" w:rsidRPr="001657F0">
        <w:rPr>
          <w:rFonts w:ascii="Times New Roman" w:hAnsi="Times New Roman" w:cs="Times New Roman"/>
          <w:b/>
        </w:rPr>
        <w:t xml:space="preserve">стандарт – </w:t>
      </w:r>
      <w:r w:rsidRPr="001657F0">
        <w:rPr>
          <w:rFonts w:ascii="Times New Roman" w:hAnsi="Times New Roman" w:cs="Times New Roman"/>
        </w:rPr>
        <w:t xml:space="preserve">Базовый стандарт совершения брокером операций на финансовом рынке, утвержденный Банком России; </w:t>
      </w:r>
    </w:p>
    <w:p w14:paraId="4049F9D9" w14:textId="220BA09D" w:rsidR="00732DF3" w:rsidRPr="001657F0" w:rsidRDefault="00732DF3" w:rsidP="00FA38F6">
      <w:pPr>
        <w:spacing w:after="0"/>
        <w:jc w:val="both"/>
        <w:rPr>
          <w:rFonts w:ascii="Times New Roman" w:hAnsi="Times New Roman" w:cs="Times New Roman"/>
        </w:rPr>
      </w:pPr>
      <w:r w:rsidRPr="001657F0">
        <w:rPr>
          <w:rFonts w:ascii="Times New Roman" w:hAnsi="Times New Roman" w:cs="Times New Roman"/>
          <w:b/>
        </w:rPr>
        <w:t>Банк</w:t>
      </w:r>
      <w:r w:rsidRPr="001657F0">
        <w:rPr>
          <w:rFonts w:ascii="Times New Roman" w:hAnsi="Times New Roman" w:cs="Times New Roman"/>
        </w:rPr>
        <w:t xml:space="preserve"> – Акционерный коммерческий банк «</w:t>
      </w:r>
      <w:proofErr w:type="spellStart"/>
      <w:r w:rsidRPr="001657F0">
        <w:rPr>
          <w:rFonts w:ascii="Times New Roman" w:hAnsi="Times New Roman" w:cs="Times New Roman"/>
        </w:rPr>
        <w:t>Алмазэргиэнбанк</w:t>
      </w:r>
      <w:proofErr w:type="spellEnd"/>
      <w:r w:rsidRPr="001657F0">
        <w:rPr>
          <w:rFonts w:ascii="Times New Roman" w:hAnsi="Times New Roman" w:cs="Times New Roman"/>
        </w:rPr>
        <w:t xml:space="preserve">» АО;  </w:t>
      </w:r>
    </w:p>
    <w:p w14:paraId="331D6A2C" w14:textId="29A4B834" w:rsidR="00460C45" w:rsidRPr="001657F0" w:rsidRDefault="00E42187" w:rsidP="00FA38F6">
      <w:pPr>
        <w:spacing w:after="0"/>
        <w:jc w:val="both"/>
        <w:rPr>
          <w:rFonts w:ascii="Times New Roman" w:hAnsi="Times New Roman" w:cs="Times New Roman"/>
        </w:rPr>
      </w:pPr>
      <w:r w:rsidRPr="001657F0">
        <w:rPr>
          <w:rFonts w:ascii="Times New Roman" w:hAnsi="Times New Roman" w:cs="Times New Roman"/>
          <w:b/>
        </w:rPr>
        <w:t>Договор на брокерское обслуживание (Договор)</w:t>
      </w:r>
      <w:r w:rsidRPr="001657F0">
        <w:rPr>
          <w:rFonts w:ascii="Times New Roman" w:hAnsi="Times New Roman" w:cs="Times New Roman"/>
        </w:rPr>
        <w:t xml:space="preserve"> – договор, заключенный между Банком и Клиентом в соответствии с Регламентом брокерского обслуживания клиентов АКБ «</w:t>
      </w:r>
      <w:proofErr w:type="spellStart"/>
      <w:r w:rsidRPr="001657F0">
        <w:rPr>
          <w:rFonts w:ascii="Times New Roman" w:hAnsi="Times New Roman" w:cs="Times New Roman"/>
        </w:rPr>
        <w:t>Алмазэргиэнбанк</w:t>
      </w:r>
      <w:proofErr w:type="spellEnd"/>
      <w:r w:rsidRPr="001657F0">
        <w:rPr>
          <w:rFonts w:ascii="Times New Roman" w:hAnsi="Times New Roman" w:cs="Times New Roman"/>
        </w:rPr>
        <w:t>» АО, устанавливающий и регулирующий отношения при брокерс</w:t>
      </w:r>
      <w:r w:rsidR="00321F4D">
        <w:rPr>
          <w:rFonts w:ascii="Times New Roman" w:hAnsi="Times New Roman" w:cs="Times New Roman"/>
        </w:rPr>
        <w:t xml:space="preserve">ком обслуживании </w:t>
      </w:r>
      <w:r w:rsidR="00F60168">
        <w:rPr>
          <w:rFonts w:ascii="Times New Roman" w:hAnsi="Times New Roman" w:cs="Times New Roman"/>
        </w:rPr>
        <w:t>Банком</w:t>
      </w:r>
      <w:r w:rsidR="00975CFA">
        <w:rPr>
          <w:rFonts w:ascii="Times New Roman" w:hAnsi="Times New Roman" w:cs="Times New Roman"/>
        </w:rPr>
        <w:t xml:space="preserve"> Клиента</w:t>
      </w:r>
      <w:r w:rsidR="00321F4D">
        <w:rPr>
          <w:rFonts w:ascii="Times New Roman" w:hAnsi="Times New Roman" w:cs="Times New Roman"/>
        </w:rPr>
        <w:t xml:space="preserve">; </w:t>
      </w:r>
    </w:p>
    <w:p w14:paraId="7102DE62" w14:textId="313E6F66" w:rsidR="00732DF3" w:rsidRPr="001657F0" w:rsidRDefault="005C06EB" w:rsidP="00FA38F6">
      <w:pPr>
        <w:spacing w:after="0"/>
        <w:jc w:val="both"/>
        <w:rPr>
          <w:rFonts w:ascii="Times New Roman" w:hAnsi="Times New Roman" w:cs="Times New Roman"/>
          <w:b/>
        </w:rPr>
      </w:pPr>
      <w:r w:rsidRPr="001657F0">
        <w:rPr>
          <w:rFonts w:ascii="Times New Roman" w:hAnsi="Times New Roman" w:cs="Times New Roman"/>
          <w:b/>
        </w:rPr>
        <w:t xml:space="preserve">Клиент – </w:t>
      </w:r>
      <w:r w:rsidR="00732DF3" w:rsidRPr="001657F0">
        <w:rPr>
          <w:rFonts w:ascii="Times New Roman" w:hAnsi="Times New Roman" w:cs="Times New Roman"/>
        </w:rPr>
        <w:t xml:space="preserve">физическое или юридическое лицо, являющееся резидентом Российской Федерации, </w:t>
      </w:r>
      <w:r w:rsidR="00C57982" w:rsidRPr="001657F0">
        <w:rPr>
          <w:rFonts w:ascii="Times New Roman" w:hAnsi="Times New Roman" w:cs="Times New Roman"/>
        </w:rPr>
        <w:t>заключившее с Банком дог</w:t>
      </w:r>
      <w:r w:rsidR="00C6275D" w:rsidRPr="001657F0">
        <w:rPr>
          <w:rFonts w:ascii="Times New Roman" w:hAnsi="Times New Roman" w:cs="Times New Roman"/>
        </w:rPr>
        <w:t xml:space="preserve">овор на брокерское обслуживание; </w:t>
      </w:r>
    </w:p>
    <w:p w14:paraId="161A4CAA" w14:textId="77777777" w:rsidR="00732DF3" w:rsidRPr="001657F0" w:rsidRDefault="00732DF3" w:rsidP="00FA38F6">
      <w:pPr>
        <w:spacing w:after="0"/>
        <w:jc w:val="both"/>
        <w:rPr>
          <w:rFonts w:ascii="Times New Roman" w:hAnsi="Times New Roman" w:cs="Times New Roman"/>
        </w:rPr>
      </w:pPr>
      <w:r w:rsidRPr="001657F0">
        <w:rPr>
          <w:rFonts w:ascii="Times New Roman" w:hAnsi="Times New Roman" w:cs="Times New Roman"/>
          <w:b/>
        </w:rPr>
        <w:t>Поручени</w:t>
      </w:r>
      <w:r w:rsidR="005C06EB" w:rsidRPr="001657F0">
        <w:rPr>
          <w:rFonts w:ascii="Times New Roman" w:hAnsi="Times New Roman" w:cs="Times New Roman"/>
        </w:rPr>
        <w:t>е – указание Клиента брокеру</w:t>
      </w:r>
      <w:r w:rsidRPr="001657F0">
        <w:rPr>
          <w:rFonts w:ascii="Times New Roman" w:hAnsi="Times New Roman" w:cs="Times New Roman"/>
        </w:rPr>
        <w:t xml:space="preserve"> </w:t>
      </w:r>
      <w:r w:rsidR="005C06EB" w:rsidRPr="001657F0">
        <w:rPr>
          <w:rFonts w:ascii="Times New Roman" w:hAnsi="Times New Roman" w:cs="Times New Roman"/>
        </w:rPr>
        <w:t>совершить одну</w:t>
      </w:r>
      <w:r w:rsidRPr="001657F0">
        <w:rPr>
          <w:rFonts w:ascii="Times New Roman" w:hAnsi="Times New Roman" w:cs="Times New Roman"/>
        </w:rPr>
        <w:t xml:space="preserve">  или  несколько  сделок  с имуществом Клиента в соответствии с Регламентом</w:t>
      </w:r>
      <w:r w:rsidR="005C06EB" w:rsidRPr="001657F0">
        <w:rPr>
          <w:rFonts w:ascii="Times New Roman" w:hAnsi="Times New Roman" w:cs="Times New Roman"/>
        </w:rPr>
        <w:t>;</w:t>
      </w:r>
    </w:p>
    <w:p w14:paraId="09FBE15D" w14:textId="77777777" w:rsidR="00732DF3" w:rsidRPr="001657F0" w:rsidRDefault="00732DF3" w:rsidP="00FA38F6">
      <w:pPr>
        <w:spacing w:after="0"/>
        <w:jc w:val="both"/>
        <w:rPr>
          <w:rFonts w:ascii="Times New Roman" w:hAnsi="Times New Roman" w:cs="Times New Roman"/>
        </w:rPr>
      </w:pPr>
      <w:r w:rsidRPr="001657F0">
        <w:rPr>
          <w:rFonts w:ascii="Times New Roman" w:hAnsi="Times New Roman" w:cs="Times New Roman"/>
          <w:b/>
        </w:rPr>
        <w:t xml:space="preserve">Регламент </w:t>
      </w:r>
      <w:r w:rsidRPr="001657F0">
        <w:rPr>
          <w:rFonts w:ascii="Times New Roman" w:hAnsi="Times New Roman" w:cs="Times New Roman"/>
        </w:rPr>
        <w:t xml:space="preserve">– </w:t>
      </w:r>
      <w:r w:rsidR="005E2A2C" w:rsidRPr="001657F0">
        <w:rPr>
          <w:rFonts w:ascii="Times New Roman" w:hAnsi="Times New Roman" w:cs="Times New Roman"/>
        </w:rPr>
        <w:t xml:space="preserve"> Регламент брокерского обслуживания клиентов АКБ «</w:t>
      </w:r>
      <w:proofErr w:type="spellStart"/>
      <w:r w:rsidR="005E2A2C" w:rsidRPr="001657F0">
        <w:rPr>
          <w:rFonts w:ascii="Times New Roman" w:hAnsi="Times New Roman" w:cs="Times New Roman"/>
        </w:rPr>
        <w:t>Алмазэргиэнбанк</w:t>
      </w:r>
      <w:proofErr w:type="spellEnd"/>
      <w:r w:rsidR="005E2A2C" w:rsidRPr="001657F0">
        <w:rPr>
          <w:rFonts w:ascii="Times New Roman" w:hAnsi="Times New Roman" w:cs="Times New Roman"/>
        </w:rPr>
        <w:t xml:space="preserve">» АО; </w:t>
      </w:r>
    </w:p>
    <w:p w14:paraId="1F016AD4" w14:textId="77777777" w:rsidR="00732DF3" w:rsidRPr="001657F0" w:rsidRDefault="00732DF3" w:rsidP="00FA38F6">
      <w:pPr>
        <w:spacing w:after="0"/>
        <w:jc w:val="both"/>
        <w:rPr>
          <w:rFonts w:ascii="Times New Roman" w:hAnsi="Times New Roman" w:cs="Times New Roman"/>
        </w:rPr>
      </w:pPr>
      <w:r w:rsidRPr="001657F0">
        <w:rPr>
          <w:rFonts w:ascii="Times New Roman" w:hAnsi="Times New Roman" w:cs="Times New Roman"/>
          <w:b/>
        </w:rPr>
        <w:t>Торговая операция</w:t>
      </w:r>
      <w:r w:rsidR="005C06EB" w:rsidRPr="001657F0">
        <w:rPr>
          <w:rFonts w:ascii="Times New Roman" w:hAnsi="Times New Roman" w:cs="Times New Roman"/>
        </w:rPr>
        <w:t xml:space="preserve"> – совершение сделки с имуществом</w:t>
      </w:r>
      <w:r w:rsidRPr="001657F0">
        <w:rPr>
          <w:rFonts w:ascii="Times New Roman" w:hAnsi="Times New Roman" w:cs="Times New Roman"/>
        </w:rPr>
        <w:t xml:space="preserve">  Клиента  в  соответствии  с Регламентом. </w:t>
      </w:r>
    </w:p>
    <w:p w14:paraId="146C09C8" w14:textId="37F8D283" w:rsidR="00732DF3" w:rsidRPr="001657F0" w:rsidRDefault="005C06EB" w:rsidP="00FA38F6">
      <w:pPr>
        <w:spacing w:after="0"/>
        <w:jc w:val="both"/>
        <w:rPr>
          <w:rFonts w:ascii="Times New Roman" w:hAnsi="Times New Roman" w:cs="Times New Roman"/>
        </w:rPr>
      </w:pPr>
      <w:r w:rsidRPr="001657F0">
        <w:rPr>
          <w:rFonts w:ascii="Times New Roman" w:hAnsi="Times New Roman" w:cs="Times New Roman"/>
        </w:rPr>
        <w:t>Иные термины</w:t>
      </w:r>
      <w:r w:rsidR="00732DF3" w:rsidRPr="001657F0">
        <w:rPr>
          <w:rFonts w:ascii="Times New Roman" w:hAnsi="Times New Roman" w:cs="Times New Roman"/>
        </w:rPr>
        <w:t xml:space="preserve"> </w:t>
      </w:r>
      <w:r w:rsidRPr="001657F0">
        <w:rPr>
          <w:rFonts w:ascii="Times New Roman" w:hAnsi="Times New Roman" w:cs="Times New Roman"/>
        </w:rPr>
        <w:t>используются в</w:t>
      </w:r>
      <w:r w:rsidR="00F60168">
        <w:rPr>
          <w:rFonts w:ascii="Times New Roman" w:hAnsi="Times New Roman" w:cs="Times New Roman"/>
        </w:rPr>
        <w:t xml:space="preserve"> </w:t>
      </w:r>
      <w:r w:rsidR="00732DF3" w:rsidRPr="001657F0">
        <w:rPr>
          <w:rFonts w:ascii="Times New Roman" w:hAnsi="Times New Roman" w:cs="Times New Roman"/>
        </w:rPr>
        <w:t>значениях,  определенных  законодательством  Российской Федерации, Базовым стандартом и Регламентом.</w:t>
      </w:r>
    </w:p>
    <w:p w14:paraId="0FBFEB11" w14:textId="77777777" w:rsidR="00FA38F6" w:rsidRPr="001657F0" w:rsidRDefault="00FA38F6" w:rsidP="00FA38F6">
      <w:pPr>
        <w:spacing w:after="0"/>
        <w:jc w:val="both"/>
        <w:rPr>
          <w:rFonts w:ascii="Times New Roman" w:hAnsi="Times New Roman" w:cs="Times New Roman"/>
        </w:rPr>
      </w:pPr>
    </w:p>
    <w:p w14:paraId="50A9A180" w14:textId="77777777" w:rsidR="00FA38F6" w:rsidRPr="001657F0" w:rsidRDefault="00FA38F6" w:rsidP="00FA38F6">
      <w:pPr>
        <w:spacing w:after="0"/>
        <w:jc w:val="both"/>
        <w:rPr>
          <w:rFonts w:ascii="Times New Roman" w:hAnsi="Times New Roman" w:cs="Times New Roman"/>
        </w:rPr>
      </w:pPr>
    </w:p>
    <w:p w14:paraId="16A5796E" w14:textId="77777777" w:rsidR="00940646" w:rsidRPr="001657F0" w:rsidRDefault="00940646" w:rsidP="00FA38F6">
      <w:pPr>
        <w:pStyle w:val="a4"/>
        <w:numPr>
          <w:ilvl w:val="0"/>
          <w:numId w:val="27"/>
        </w:numPr>
        <w:spacing w:after="0"/>
        <w:jc w:val="center"/>
        <w:rPr>
          <w:rFonts w:ascii="Times New Roman" w:hAnsi="Times New Roman" w:cs="Times New Roman"/>
          <w:b/>
        </w:rPr>
      </w:pPr>
      <w:r w:rsidRPr="001657F0">
        <w:rPr>
          <w:rFonts w:ascii="Times New Roman" w:hAnsi="Times New Roman" w:cs="Times New Roman"/>
          <w:b/>
        </w:rPr>
        <w:t>Общие положения</w:t>
      </w:r>
    </w:p>
    <w:p w14:paraId="653020D7" w14:textId="77777777" w:rsidR="00FA38F6" w:rsidRPr="001657F0" w:rsidRDefault="00FA38F6" w:rsidP="00FA38F6">
      <w:pPr>
        <w:spacing w:after="0"/>
        <w:jc w:val="center"/>
        <w:rPr>
          <w:rFonts w:ascii="Times New Roman" w:hAnsi="Times New Roman" w:cs="Times New Roman"/>
          <w:b/>
        </w:rPr>
      </w:pPr>
    </w:p>
    <w:p w14:paraId="0268B492" w14:textId="77777777" w:rsidR="00D35217" w:rsidRPr="001657F0" w:rsidRDefault="00940646" w:rsidP="00D35217">
      <w:pPr>
        <w:pStyle w:val="a4"/>
        <w:numPr>
          <w:ilvl w:val="0"/>
          <w:numId w:val="4"/>
        </w:numPr>
        <w:tabs>
          <w:tab w:val="left" w:pos="0"/>
          <w:tab w:val="left" w:pos="426"/>
        </w:tabs>
        <w:spacing w:after="0"/>
        <w:ind w:left="0" w:firstLine="0"/>
        <w:jc w:val="both"/>
        <w:rPr>
          <w:rFonts w:ascii="Times New Roman" w:hAnsi="Times New Roman" w:cs="Times New Roman"/>
        </w:rPr>
      </w:pPr>
      <w:r w:rsidRPr="001657F0">
        <w:rPr>
          <w:rFonts w:ascii="Times New Roman" w:hAnsi="Times New Roman" w:cs="Times New Roman"/>
        </w:rPr>
        <w:t xml:space="preserve">Настоящая </w:t>
      </w:r>
      <w:r w:rsidR="005C06EB" w:rsidRPr="001657F0">
        <w:rPr>
          <w:rFonts w:ascii="Times New Roman" w:hAnsi="Times New Roman" w:cs="Times New Roman"/>
        </w:rPr>
        <w:t>Политика определяет</w:t>
      </w:r>
      <w:r w:rsidRPr="001657F0">
        <w:rPr>
          <w:rFonts w:ascii="Times New Roman" w:hAnsi="Times New Roman" w:cs="Times New Roman"/>
        </w:rPr>
        <w:t xml:space="preserve"> общие принципы, которыми руководствуется Банк, совершая</w:t>
      </w:r>
      <w:r w:rsidR="00D35217" w:rsidRPr="001657F0">
        <w:rPr>
          <w:rFonts w:ascii="Times New Roman" w:hAnsi="Times New Roman" w:cs="Times New Roman"/>
        </w:rPr>
        <w:t xml:space="preserve"> Торговые операции за счет Клиентов в рамках осуществления брокерской деятельности. </w:t>
      </w:r>
    </w:p>
    <w:p w14:paraId="76161AF2" w14:textId="3A6528C8" w:rsidR="00940646" w:rsidRPr="001657F0" w:rsidRDefault="00940646" w:rsidP="003F4127">
      <w:pPr>
        <w:pStyle w:val="a4"/>
        <w:numPr>
          <w:ilvl w:val="0"/>
          <w:numId w:val="4"/>
        </w:numPr>
        <w:tabs>
          <w:tab w:val="left" w:pos="0"/>
          <w:tab w:val="left" w:pos="426"/>
        </w:tabs>
        <w:spacing w:after="0"/>
        <w:ind w:left="0" w:firstLine="0"/>
        <w:jc w:val="both"/>
        <w:rPr>
          <w:rFonts w:ascii="Times New Roman" w:hAnsi="Times New Roman" w:cs="Times New Roman"/>
        </w:rPr>
      </w:pPr>
      <w:r w:rsidRPr="001657F0">
        <w:rPr>
          <w:rFonts w:ascii="Times New Roman" w:hAnsi="Times New Roman" w:cs="Times New Roman"/>
        </w:rPr>
        <w:t xml:space="preserve">Положения настоящей Политики применяются при исполнении поручений Клиентов на организованных торгах и на внебиржевом рынке, в том числе при исполнении Поручения путем заключения сделки с другим Клиентом. </w:t>
      </w:r>
    </w:p>
    <w:p w14:paraId="4914BFBF" w14:textId="77777777" w:rsidR="00940646" w:rsidRPr="001657F0" w:rsidRDefault="00940646" w:rsidP="00FA38F6">
      <w:pPr>
        <w:pStyle w:val="a4"/>
        <w:numPr>
          <w:ilvl w:val="0"/>
          <w:numId w:val="4"/>
        </w:numPr>
        <w:tabs>
          <w:tab w:val="left" w:pos="426"/>
        </w:tabs>
        <w:spacing w:after="0"/>
        <w:ind w:left="0" w:firstLine="0"/>
        <w:jc w:val="both"/>
        <w:rPr>
          <w:rFonts w:ascii="Times New Roman" w:hAnsi="Times New Roman" w:cs="Times New Roman"/>
        </w:rPr>
      </w:pPr>
      <w:r w:rsidRPr="001657F0">
        <w:rPr>
          <w:rFonts w:ascii="Times New Roman" w:hAnsi="Times New Roman" w:cs="Times New Roman"/>
        </w:rPr>
        <w:t xml:space="preserve">Настоящая Политика </w:t>
      </w:r>
      <w:r w:rsidR="006102D9" w:rsidRPr="001657F0">
        <w:rPr>
          <w:rFonts w:ascii="Times New Roman" w:hAnsi="Times New Roman" w:cs="Times New Roman"/>
        </w:rPr>
        <w:t xml:space="preserve">доводится до сведения всех сотрудников Банка, задействованных в исполнении Поручений Клиентов, и является обязательной </w:t>
      </w:r>
      <w:r w:rsidRPr="001657F0">
        <w:rPr>
          <w:rFonts w:ascii="Times New Roman" w:hAnsi="Times New Roman" w:cs="Times New Roman"/>
        </w:rPr>
        <w:t xml:space="preserve">для применения уполномоченными сотрудниками Банка при заключении и исполнении сделок по Поручениям Клиентов. </w:t>
      </w:r>
    </w:p>
    <w:p w14:paraId="3C0CCDFD" w14:textId="266E51F2" w:rsidR="00940646" w:rsidRPr="001657F0" w:rsidRDefault="00940646" w:rsidP="00FA38F6">
      <w:pPr>
        <w:pStyle w:val="a4"/>
        <w:numPr>
          <w:ilvl w:val="0"/>
          <w:numId w:val="4"/>
        </w:numPr>
        <w:tabs>
          <w:tab w:val="left" w:pos="426"/>
        </w:tabs>
        <w:spacing w:after="0"/>
        <w:ind w:left="0" w:firstLine="0"/>
        <w:jc w:val="both"/>
        <w:rPr>
          <w:rFonts w:ascii="Times New Roman" w:hAnsi="Times New Roman" w:cs="Times New Roman"/>
        </w:rPr>
      </w:pPr>
      <w:r w:rsidRPr="001657F0">
        <w:rPr>
          <w:rFonts w:ascii="Times New Roman" w:hAnsi="Times New Roman" w:cs="Times New Roman"/>
        </w:rPr>
        <w:t xml:space="preserve">Настоящая </w:t>
      </w:r>
      <w:r w:rsidR="005C06EB" w:rsidRPr="001657F0">
        <w:rPr>
          <w:rFonts w:ascii="Times New Roman" w:hAnsi="Times New Roman" w:cs="Times New Roman"/>
        </w:rPr>
        <w:t>Политика носит</w:t>
      </w:r>
      <w:r w:rsidRPr="001657F0">
        <w:rPr>
          <w:rFonts w:ascii="Times New Roman" w:hAnsi="Times New Roman" w:cs="Times New Roman"/>
        </w:rPr>
        <w:t xml:space="preserve">  открытый  характер,  публикуется  на  официальном  сайте Банка.  </w:t>
      </w:r>
      <w:r w:rsidR="005C06EB" w:rsidRPr="001657F0">
        <w:rPr>
          <w:rFonts w:ascii="Times New Roman" w:hAnsi="Times New Roman" w:cs="Times New Roman"/>
        </w:rPr>
        <w:t>Во всем</w:t>
      </w:r>
      <w:r w:rsidRPr="001657F0">
        <w:rPr>
          <w:rFonts w:ascii="Times New Roman" w:hAnsi="Times New Roman" w:cs="Times New Roman"/>
        </w:rPr>
        <w:t xml:space="preserve">  ином,  что  не  предусмотрено настоящей Политикой, Банк  при  исполнении Торговых операций руководствуются  положениями Регламента и действующего законодательства Российской Федерации.</w:t>
      </w:r>
    </w:p>
    <w:p w14:paraId="714A7698" w14:textId="77777777" w:rsidR="00D85F7A" w:rsidRPr="001657F0" w:rsidRDefault="00D85F7A" w:rsidP="00D85F7A">
      <w:pPr>
        <w:pStyle w:val="a4"/>
        <w:tabs>
          <w:tab w:val="left" w:pos="426"/>
        </w:tabs>
        <w:spacing w:after="0"/>
        <w:ind w:left="0"/>
        <w:jc w:val="both"/>
        <w:rPr>
          <w:rFonts w:ascii="Times New Roman" w:hAnsi="Times New Roman" w:cs="Times New Roman"/>
        </w:rPr>
      </w:pPr>
    </w:p>
    <w:p w14:paraId="1D1B74E1" w14:textId="415F9848" w:rsidR="00D069B7" w:rsidRDefault="00E043B7" w:rsidP="00D069B7">
      <w:pPr>
        <w:pStyle w:val="a4"/>
        <w:numPr>
          <w:ilvl w:val="0"/>
          <w:numId w:val="28"/>
        </w:numPr>
        <w:jc w:val="center"/>
        <w:rPr>
          <w:rFonts w:ascii="Times New Roman" w:hAnsi="Times New Roman" w:cs="Times New Roman"/>
          <w:b/>
        </w:rPr>
      </w:pPr>
      <w:r w:rsidRPr="00E043B7">
        <w:rPr>
          <w:rFonts w:ascii="Times New Roman" w:hAnsi="Times New Roman" w:cs="Times New Roman"/>
          <w:b/>
        </w:rPr>
        <w:t>Общие принципы, у</w:t>
      </w:r>
      <w:r w:rsidR="004E0223" w:rsidRPr="00E043B7">
        <w:rPr>
          <w:rFonts w:ascii="Times New Roman" w:hAnsi="Times New Roman" w:cs="Times New Roman"/>
          <w:b/>
        </w:rPr>
        <w:t>словия и порядок исполнения Поручений Клиентов</w:t>
      </w:r>
    </w:p>
    <w:p w14:paraId="5273A492" w14:textId="59689B52" w:rsidR="00E043B7" w:rsidRPr="00E043B7" w:rsidRDefault="00E043B7" w:rsidP="00D069B7">
      <w:pPr>
        <w:pStyle w:val="a4"/>
        <w:jc w:val="center"/>
        <w:rPr>
          <w:rFonts w:ascii="Times New Roman" w:hAnsi="Times New Roman" w:cs="Times New Roman"/>
          <w:b/>
        </w:rPr>
      </w:pPr>
      <w:r w:rsidRPr="00E043B7">
        <w:rPr>
          <w:rFonts w:ascii="Times New Roman" w:hAnsi="Times New Roman" w:cs="Times New Roman"/>
          <w:b/>
        </w:rPr>
        <w:t>на лучших условиях</w:t>
      </w:r>
    </w:p>
    <w:p w14:paraId="52474750" w14:textId="04CD0569" w:rsidR="004E0223" w:rsidRPr="001657F0" w:rsidRDefault="004E0223" w:rsidP="003D2901">
      <w:pPr>
        <w:pStyle w:val="a4"/>
        <w:tabs>
          <w:tab w:val="left" w:pos="426"/>
        </w:tabs>
        <w:spacing w:after="0"/>
        <w:jc w:val="center"/>
        <w:rPr>
          <w:rFonts w:ascii="Times New Roman" w:hAnsi="Times New Roman" w:cs="Times New Roman"/>
          <w:b/>
        </w:rPr>
      </w:pPr>
    </w:p>
    <w:p w14:paraId="5C161163" w14:textId="4A3B84BA" w:rsidR="0085696E" w:rsidRPr="001657F0" w:rsidRDefault="004E0223" w:rsidP="0066276A">
      <w:pPr>
        <w:pStyle w:val="a4"/>
        <w:numPr>
          <w:ilvl w:val="0"/>
          <w:numId w:val="9"/>
        </w:numPr>
        <w:tabs>
          <w:tab w:val="left" w:pos="426"/>
        </w:tabs>
        <w:spacing w:after="0"/>
        <w:ind w:left="0" w:firstLine="0"/>
        <w:jc w:val="both"/>
        <w:rPr>
          <w:rFonts w:ascii="Times New Roman" w:hAnsi="Times New Roman" w:cs="Times New Roman"/>
        </w:rPr>
      </w:pPr>
      <w:r w:rsidRPr="001657F0">
        <w:rPr>
          <w:rFonts w:ascii="Times New Roman" w:hAnsi="Times New Roman" w:cs="Times New Roman"/>
        </w:rPr>
        <w:t xml:space="preserve">При осуществлении брокерской деятельности Банк принимает все разумные меры для совершения Торговых операций за счет </w:t>
      </w:r>
      <w:r w:rsidR="005C06EB" w:rsidRPr="001657F0">
        <w:rPr>
          <w:rFonts w:ascii="Times New Roman" w:hAnsi="Times New Roman" w:cs="Times New Roman"/>
        </w:rPr>
        <w:t>Клиента</w:t>
      </w:r>
      <w:r w:rsidR="0085696E" w:rsidRPr="001657F0">
        <w:rPr>
          <w:rFonts w:ascii="Times New Roman" w:hAnsi="Times New Roman" w:cs="Times New Roman"/>
        </w:rPr>
        <w:t>,</w:t>
      </w:r>
      <w:r w:rsidR="005C06EB" w:rsidRPr="001657F0">
        <w:rPr>
          <w:rFonts w:ascii="Times New Roman" w:hAnsi="Times New Roman" w:cs="Times New Roman"/>
        </w:rPr>
        <w:t xml:space="preserve"> </w:t>
      </w:r>
      <w:r w:rsidR="0085696E" w:rsidRPr="001657F0">
        <w:rPr>
          <w:rFonts w:ascii="Times New Roman" w:hAnsi="Times New Roman" w:cs="Times New Roman"/>
        </w:rPr>
        <w:t>в том числе при закрытии позиций Клиента, н</w:t>
      </w:r>
      <w:r w:rsidR="00776594" w:rsidRPr="001657F0">
        <w:rPr>
          <w:rFonts w:ascii="Times New Roman" w:hAnsi="Times New Roman" w:cs="Times New Roman"/>
        </w:rPr>
        <w:t xml:space="preserve">а лучших условиях в соответствии с </w:t>
      </w:r>
      <w:r w:rsidR="009F5573" w:rsidRPr="001657F0">
        <w:rPr>
          <w:rFonts w:ascii="Times New Roman" w:hAnsi="Times New Roman" w:cs="Times New Roman"/>
        </w:rPr>
        <w:t>условиями Поручения</w:t>
      </w:r>
      <w:r w:rsidRPr="001657F0">
        <w:rPr>
          <w:rFonts w:ascii="Times New Roman" w:hAnsi="Times New Roman" w:cs="Times New Roman"/>
        </w:rPr>
        <w:t xml:space="preserve">  и  </w:t>
      </w:r>
      <w:r w:rsidR="00E42187" w:rsidRPr="001657F0">
        <w:rPr>
          <w:rFonts w:ascii="Times New Roman" w:hAnsi="Times New Roman" w:cs="Times New Roman"/>
        </w:rPr>
        <w:t xml:space="preserve">Договором </w:t>
      </w:r>
      <w:r w:rsidR="005C06EB" w:rsidRPr="001657F0">
        <w:rPr>
          <w:rFonts w:ascii="Times New Roman" w:hAnsi="Times New Roman" w:cs="Times New Roman"/>
        </w:rPr>
        <w:t xml:space="preserve"> (далее – Лучшие условия).</w:t>
      </w:r>
      <w:r w:rsidR="0085696E" w:rsidRPr="001657F0">
        <w:rPr>
          <w:rFonts w:ascii="Times New Roman" w:hAnsi="Times New Roman" w:cs="Times New Roman"/>
        </w:rPr>
        <w:t xml:space="preserve"> </w:t>
      </w:r>
    </w:p>
    <w:p w14:paraId="7C4F97F0" w14:textId="77777777" w:rsidR="004E0223" w:rsidRPr="001657F0" w:rsidRDefault="004E0223" w:rsidP="00FA38F6">
      <w:pPr>
        <w:pStyle w:val="a4"/>
        <w:numPr>
          <w:ilvl w:val="0"/>
          <w:numId w:val="9"/>
        </w:numPr>
        <w:tabs>
          <w:tab w:val="left" w:pos="426"/>
        </w:tabs>
        <w:spacing w:after="0"/>
        <w:ind w:left="0" w:firstLine="0"/>
        <w:jc w:val="both"/>
        <w:rPr>
          <w:rFonts w:ascii="Times New Roman" w:hAnsi="Times New Roman" w:cs="Times New Roman"/>
        </w:rPr>
      </w:pPr>
      <w:r w:rsidRPr="001657F0">
        <w:rPr>
          <w:rFonts w:ascii="Times New Roman" w:hAnsi="Times New Roman" w:cs="Times New Roman"/>
        </w:rPr>
        <w:t xml:space="preserve">Банк исполняет Поручение Клиента при соблюдении одновременно следующих условий: </w:t>
      </w:r>
    </w:p>
    <w:p w14:paraId="1484C67B" w14:textId="63AA9464" w:rsidR="004E0223" w:rsidRPr="001657F0" w:rsidRDefault="004E0223" w:rsidP="00FA38F6">
      <w:pPr>
        <w:pStyle w:val="a4"/>
        <w:numPr>
          <w:ilvl w:val="0"/>
          <w:numId w:val="10"/>
        </w:numPr>
        <w:tabs>
          <w:tab w:val="left" w:pos="426"/>
        </w:tabs>
        <w:spacing w:after="0"/>
        <w:jc w:val="both"/>
        <w:rPr>
          <w:rFonts w:ascii="Times New Roman" w:hAnsi="Times New Roman" w:cs="Times New Roman"/>
        </w:rPr>
      </w:pPr>
      <w:r w:rsidRPr="001657F0">
        <w:rPr>
          <w:rFonts w:ascii="Times New Roman" w:hAnsi="Times New Roman" w:cs="Times New Roman"/>
        </w:rPr>
        <w:t>Поручение подано способом, установленным</w:t>
      </w:r>
      <w:r w:rsidR="00524FA2" w:rsidRPr="001657F0">
        <w:rPr>
          <w:rFonts w:ascii="Times New Roman" w:hAnsi="Times New Roman" w:cs="Times New Roman"/>
        </w:rPr>
        <w:t xml:space="preserve"> Договором</w:t>
      </w:r>
      <w:r w:rsidR="00460C45" w:rsidRPr="001657F0">
        <w:rPr>
          <w:rFonts w:ascii="Times New Roman" w:hAnsi="Times New Roman" w:cs="Times New Roman"/>
        </w:rPr>
        <w:t xml:space="preserve">; </w:t>
      </w:r>
      <w:r w:rsidRPr="001657F0">
        <w:rPr>
          <w:rFonts w:ascii="Times New Roman" w:hAnsi="Times New Roman" w:cs="Times New Roman"/>
        </w:rPr>
        <w:t xml:space="preserve"> </w:t>
      </w:r>
    </w:p>
    <w:p w14:paraId="44BF0C90" w14:textId="53515C5D" w:rsidR="004E0223" w:rsidRPr="001657F0" w:rsidRDefault="00776594" w:rsidP="00FA38F6">
      <w:pPr>
        <w:pStyle w:val="a4"/>
        <w:numPr>
          <w:ilvl w:val="0"/>
          <w:numId w:val="10"/>
        </w:numPr>
        <w:tabs>
          <w:tab w:val="left" w:pos="426"/>
        </w:tabs>
        <w:spacing w:after="0"/>
        <w:jc w:val="both"/>
        <w:rPr>
          <w:rFonts w:ascii="Times New Roman" w:hAnsi="Times New Roman" w:cs="Times New Roman"/>
        </w:rPr>
      </w:pPr>
      <w:r w:rsidRPr="001657F0">
        <w:rPr>
          <w:rFonts w:ascii="Times New Roman" w:hAnsi="Times New Roman" w:cs="Times New Roman"/>
        </w:rPr>
        <w:t>Поручение содержит все существенные условия, установленные Договором</w:t>
      </w:r>
      <w:r w:rsidR="00E42187" w:rsidRPr="001657F0">
        <w:rPr>
          <w:rFonts w:ascii="Times New Roman" w:hAnsi="Times New Roman" w:cs="Times New Roman"/>
        </w:rPr>
        <w:t>,</w:t>
      </w:r>
      <w:r w:rsidR="004E0223" w:rsidRPr="001657F0">
        <w:rPr>
          <w:rFonts w:ascii="Times New Roman" w:hAnsi="Times New Roman" w:cs="Times New Roman"/>
        </w:rPr>
        <w:t xml:space="preserve"> а также содержит обязательные реквизиты и/или соответствует установленной форме</w:t>
      </w:r>
      <w:r w:rsidR="00524FA2" w:rsidRPr="001657F0">
        <w:rPr>
          <w:rFonts w:ascii="Times New Roman" w:hAnsi="Times New Roman" w:cs="Times New Roman"/>
        </w:rPr>
        <w:t xml:space="preserve">; </w:t>
      </w:r>
    </w:p>
    <w:p w14:paraId="7051CCC5" w14:textId="77777777" w:rsidR="004E0223" w:rsidRPr="001657F0" w:rsidRDefault="004E0223" w:rsidP="00FA38F6">
      <w:pPr>
        <w:pStyle w:val="a4"/>
        <w:numPr>
          <w:ilvl w:val="0"/>
          <w:numId w:val="10"/>
        </w:numPr>
        <w:tabs>
          <w:tab w:val="left" w:pos="426"/>
        </w:tabs>
        <w:spacing w:after="0"/>
        <w:jc w:val="both"/>
        <w:rPr>
          <w:rFonts w:ascii="Times New Roman" w:hAnsi="Times New Roman" w:cs="Times New Roman"/>
        </w:rPr>
      </w:pPr>
      <w:r w:rsidRPr="001657F0">
        <w:rPr>
          <w:rFonts w:ascii="Times New Roman" w:hAnsi="Times New Roman" w:cs="Times New Roman"/>
        </w:rPr>
        <w:t xml:space="preserve">наступил срок и/или условие исполнения Поручения, если Поручение содержит срок и/или условие его исполнения; </w:t>
      </w:r>
    </w:p>
    <w:p w14:paraId="0D29A751" w14:textId="685697B5" w:rsidR="004E0223" w:rsidRPr="001657F0" w:rsidRDefault="00776594" w:rsidP="00FA38F6">
      <w:pPr>
        <w:pStyle w:val="a4"/>
        <w:numPr>
          <w:ilvl w:val="0"/>
          <w:numId w:val="10"/>
        </w:numPr>
        <w:tabs>
          <w:tab w:val="left" w:pos="426"/>
        </w:tabs>
        <w:spacing w:after="0"/>
        <w:jc w:val="both"/>
        <w:rPr>
          <w:rFonts w:ascii="Times New Roman" w:hAnsi="Times New Roman" w:cs="Times New Roman"/>
        </w:rPr>
      </w:pPr>
      <w:r w:rsidRPr="001657F0">
        <w:rPr>
          <w:rFonts w:ascii="Times New Roman" w:hAnsi="Times New Roman" w:cs="Times New Roman"/>
        </w:rPr>
        <w:lastRenderedPageBreak/>
        <w:t>отсутствуют основания для отказа в приеме и</w:t>
      </w:r>
      <w:r w:rsidR="004E0223" w:rsidRPr="001657F0">
        <w:rPr>
          <w:rFonts w:ascii="Times New Roman" w:hAnsi="Times New Roman" w:cs="Times New Roman"/>
        </w:rPr>
        <w:t>/</w:t>
      </w:r>
      <w:r w:rsidR="009F5573" w:rsidRPr="001657F0">
        <w:rPr>
          <w:rFonts w:ascii="Times New Roman" w:hAnsi="Times New Roman" w:cs="Times New Roman"/>
        </w:rPr>
        <w:t>или исполнении</w:t>
      </w:r>
      <w:r w:rsidR="004E0223" w:rsidRPr="001657F0">
        <w:rPr>
          <w:rFonts w:ascii="Times New Roman" w:hAnsi="Times New Roman" w:cs="Times New Roman"/>
        </w:rPr>
        <w:t xml:space="preserve">  Поручения,  если  такие основания  установлены  законодательством  Российской  Федерации,  в  том  числе нормативными  актами  Банка  России,  Базовым  стандартом  и/или </w:t>
      </w:r>
      <w:r w:rsidR="00524FA2" w:rsidRPr="001657F0">
        <w:rPr>
          <w:rFonts w:ascii="Times New Roman" w:hAnsi="Times New Roman" w:cs="Times New Roman"/>
        </w:rPr>
        <w:t>Договором</w:t>
      </w:r>
      <w:r w:rsidR="00E42187" w:rsidRPr="001657F0">
        <w:rPr>
          <w:rFonts w:ascii="Times New Roman" w:hAnsi="Times New Roman" w:cs="Times New Roman"/>
        </w:rPr>
        <w:t xml:space="preserve">. </w:t>
      </w:r>
    </w:p>
    <w:p w14:paraId="12048ABF" w14:textId="77777777" w:rsidR="00524FA2" w:rsidRPr="001657F0" w:rsidRDefault="00776594" w:rsidP="00FA38F6">
      <w:pPr>
        <w:pStyle w:val="a4"/>
        <w:numPr>
          <w:ilvl w:val="0"/>
          <w:numId w:val="9"/>
        </w:numPr>
        <w:tabs>
          <w:tab w:val="left" w:pos="426"/>
        </w:tabs>
        <w:spacing w:after="0"/>
        <w:ind w:left="0" w:firstLine="0"/>
        <w:jc w:val="both"/>
        <w:rPr>
          <w:rFonts w:ascii="Times New Roman" w:hAnsi="Times New Roman" w:cs="Times New Roman"/>
        </w:rPr>
      </w:pPr>
      <w:r w:rsidRPr="001657F0">
        <w:rPr>
          <w:rFonts w:ascii="Times New Roman" w:hAnsi="Times New Roman" w:cs="Times New Roman"/>
        </w:rPr>
        <w:t xml:space="preserve">При исполнении поручений Клиента на лучших условиях </w:t>
      </w:r>
      <w:r w:rsidR="009F5573" w:rsidRPr="001657F0">
        <w:rPr>
          <w:rFonts w:ascii="Times New Roman" w:hAnsi="Times New Roman" w:cs="Times New Roman"/>
        </w:rPr>
        <w:t>Банк исходит из</w:t>
      </w:r>
      <w:r w:rsidR="00524FA2" w:rsidRPr="001657F0">
        <w:rPr>
          <w:rFonts w:ascii="Times New Roman" w:hAnsi="Times New Roman" w:cs="Times New Roman"/>
        </w:rPr>
        <w:t xml:space="preserve"> следующих факторов: </w:t>
      </w:r>
    </w:p>
    <w:p w14:paraId="534B7D54" w14:textId="63418CA4" w:rsidR="00524FA2" w:rsidRPr="001657F0" w:rsidRDefault="00776594" w:rsidP="006E1AD7">
      <w:pPr>
        <w:pStyle w:val="a4"/>
        <w:numPr>
          <w:ilvl w:val="0"/>
          <w:numId w:val="29"/>
        </w:numPr>
        <w:spacing w:after="0"/>
        <w:jc w:val="both"/>
        <w:rPr>
          <w:rFonts w:ascii="Times New Roman" w:hAnsi="Times New Roman" w:cs="Times New Roman"/>
        </w:rPr>
      </w:pPr>
      <w:r w:rsidRPr="001657F0">
        <w:rPr>
          <w:rFonts w:ascii="Times New Roman" w:hAnsi="Times New Roman" w:cs="Times New Roman"/>
        </w:rPr>
        <w:t>лучшая</w:t>
      </w:r>
      <w:r w:rsidR="00524FA2" w:rsidRPr="001657F0">
        <w:rPr>
          <w:rFonts w:ascii="Times New Roman" w:hAnsi="Times New Roman" w:cs="Times New Roman"/>
        </w:rPr>
        <w:t xml:space="preserve"> возможная цена сделки (с учетом объема операций); </w:t>
      </w:r>
    </w:p>
    <w:p w14:paraId="1213E559" w14:textId="7F7746F7" w:rsidR="00524FA2" w:rsidRPr="001657F0" w:rsidRDefault="00776594" w:rsidP="006E1AD7">
      <w:pPr>
        <w:pStyle w:val="a4"/>
        <w:numPr>
          <w:ilvl w:val="0"/>
          <w:numId w:val="29"/>
        </w:numPr>
        <w:spacing w:after="0"/>
        <w:jc w:val="both"/>
        <w:rPr>
          <w:rFonts w:ascii="Times New Roman" w:hAnsi="Times New Roman" w:cs="Times New Roman"/>
        </w:rPr>
      </w:pPr>
      <w:r w:rsidRPr="001657F0">
        <w:rPr>
          <w:rFonts w:ascii="Times New Roman" w:hAnsi="Times New Roman" w:cs="Times New Roman"/>
        </w:rPr>
        <w:t>минимальные</w:t>
      </w:r>
      <w:r w:rsidR="00524FA2" w:rsidRPr="001657F0">
        <w:rPr>
          <w:rFonts w:ascii="Times New Roman" w:hAnsi="Times New Roman" w:cs="Times New Roman"/>
        </w:rPr>
        <w:t xml:space="preserve"> расходы, связанные с совершением сделки и осуществлением расчетов по ней; </w:t>
      </w:r>
    </w:p>
    <w:p w14:paraId="2052350A" w14:textId="07CADDBD" w:rsidR="00524FA2" w:rsidRPr="001657F0" w:rsidRDefault="00776594" w:rsidP="006E1AD7">
      <w:pPr>
        <w:pStyle w:val="a4"/>
        <w:numPr>
          <w:ilvl w:val="0"/>
          <w:numId w:val="29"/>
        </w:numPr>
        <w:spacing w:after="0"/>
        <w:jc w:val="both"/>
        <w:rPr>
          <w:rFonts w:ascii="Times New Roman" w:hAnsi="Times New Roman" w:cs="Times New Roman"/>
        </w:rPr>
      </w:pPr>
      <w:r w:rsidRPr="001657F0">
        <w:rPr>
          <w:rFonts w:ascii="Times New Roman" w:hAnsi="Times New Roman" w:cs="Times New Roman"/>
        </w:rPr>
        <w:t>минимальный</w:t>
      </w:r>
      <w:r w:rsidR="00524FA2" w:rsidRPr="001657F0">
        <w:rPr>
          <w:rFonts w:ascii="Times New Roman" w:hAnsi="Times New Roman" w:cs="Times New Roman"/>
        </w:rPr>
        <w:t xml:space="preserve"> срок исполнения Поручения; </w:t>
      </w:r>
    </w:p>
    <w:p w14:paraId="0CC992D5" w14:textId="6069E80C" w:rsidR="00524FA2" w:rsidRPr="001657F0" w:rsidRDefault="00776594" w:rsidP="006E1AD7">
      <w:pPr>
        <w:pStyle w:val="a4"/>
        <w:numPr>
          <w:ilvl w:val="0"/>
          <w:numId w:val="29"/>
        </w:numPr>
        <w:spacing w:after="0"/>
        <w:jc w:val="both"/>
        <w:rPr>
          <w:rFonts w:ascii="Times New Roman" w:hAnsi="Times New Roman" w:cs="Times New Roman"/>
        </w:rPr>
      </w:pPr>
      <w:r w:rsidRPr="001657F0">
        <w:rPr>
          <w:rFonts w:ascii="Times New Roman" w:hAnsi="Times New Roman" w:cs="Times New Roman"/>
        </w:rPr>
        <w:t>возможности</w:t>
      </w:r>
      <w:r w:rsidR="00524FA2" w:rsidRPr="001657F0">
        <w:rPr>
          <w:rFonts w:ascii="Times New Roman" w:hAnsi="Times New Roman" w:cs="Times New Roman"/>
        </w:rPr>
        <w:t xml:space="preserve"> исполнения Поручения в полном объеме; </w:t>
      </w:r>
    </w:p>
    <w:p w14:paraId="2C12B2D2" w14:textId="4A7F3D52" w:rsidR="00524FA2" w:rsidRPr="001657F0" w:rsidRDefault="00524FA2" w:rsidP="006E1AD7">
      <w:pPr>
        <w:pStyle w:val="a4"/>
        <w:numPr>
          <w:ilvl w:val="0"/>
          <w:numId w:val="29"/>
        </w:numPr>
        <w:spacing w:after="0"/>
        <w:jc w:val="both"/>
        <w:rPr>
          <w:rFonts w:ascii="Times New Roman" w:hAnsi="Times New Roman" w:cs="Times New Roman"/>
        </w:rPr>
      </w:pPr>
      <w:r w:rsidRPr="001657F0">
        <w:rPr>
          <w:rFonts w:ascii="Times New Roman" w:hAnsi="Times New Roman" w:cs="Times New Roman"/>
        </w:rPr>
        <w:t xml:space="preserve">минимальные риски </w:t>
      </w:r>
      <w:r w:rsidR="00776594" w:rsidRPr="001657F0">
        <w:rPr>
          <w:rFonts w:ascii="Times New Roman" w:hAnsi="Times New Roman" w:cs="Times New Roman"/>
        </w:rPr>
        <w:t xml:space="preserve">неисполнения сделки, а также признания </w:t>
      </w:r>
      <w:r w:rsidR="009F5573" w:rsidRPr="001657F0">
        <w:rPr>
          <w:rFonts w:ascii="Times New Roman" w:hAnsi="Times New Roman" w:cs="Times New Roman"/>
        </w:rPr>
        <w:t>совершенной сделки</w:t>
      </w:r>
      <w:r w:rsidRPr="001657F0">
        <w:rPr>
          <w:rFonts w:ascii="Times New Roman" w:hAnsi="Times New Roman" w:cs="Times New Roman"/>
        </w:rPr>
        <w:t xml:space="preserve"> недействительной; </w:t>
      </w:r>
    </w:p>
    <w:p w14:paraId="6462FA07" w14:textId="697D3031" w:rsidR="00524FA2" w:rsidRPr="001657F0" w:rsidRDefault="00776594" w:rsidP="006E1AD7">
      <w:pPr>
        <w:pStyle w:val="a4"/>
        <w:numPr>
          <w:ilvl w:val="0"/>
          <w:numId w:val="29"/>
        </w:numPr>
        <w:spacing w:after="0"/>
        <w:jc w:val="both"/>
        <w:rPr>
          <w:rFonts w:ascii="Times New Roman" w:hAnsi="Times New Roman" w:cs="Times New Roman"/>
        </w:rPr>
      </w:pPr>
      <w:r w:rsidRPr="001657F0">
        <w:rPr>
          <w:rFonts w:ascii="Times New Roman" w:hAnsi="Times New Roman" w:cs="Times New Roman"/>
        </w:rPr>
        <w:t>исполнение</w:t>
      </w:r>
      <w:r w:rsidR="00524FA2" w:rsidRPr="001657F0">
        <w:rPr>
          <w:rFonts w:ascii="Times New Roman" w:hAnsi="Times New Roman" w:cs="Times New Roman"/>
        </w:rPr>
        <w:t xml:space="preserve"> Поручения в период времени, который указан в Поручении; </w:t>
      </w:r>
    </w:p>
    <w:p w14:paraId="6D9C4AD8" w14:textId="21E26C43" w:rsidR="00940646" w:rsidRPr="001657F0" w:rsidRDefault="00776594" w:rsidP="006E1AD7">
      <w:pPr>
        <w:pStyle w:val="a4"/>
        <w:numPr>
          <w:ilvl w:val="0"/>
          <w:numId w:val="29"/>
        </w:numPr>
        <w:spacing w:after="0"/>
        <w:jc w:val="both"/>
        <w:rPr>
          <w:rFonts w:ascii="Times New Roman" w:hAnsi="Times New Roman" w:cs="Times New Roman"/>
        </w:rPr>
      </w:pPr>
      <w:r w:rsidRPr="001657F0">
        <w:rPr>
          <w:rFonts w:ascii="Times New Roman" w:hAnsi="Times New Roman" w:cs="Times New Roman"/>
        </w:rPr>
        <w:t>иная</w:t>
      </w:r>
      <w:r w:rsidR="00524FA2" w:rsidRPr="001657F0">
        <w:rPr>
          <w:rFonts w:ascii="Times New Roman" w:hAnsi="Times New Roman" w:cs="Times New Roman"/>
        </w:rPr>
        <w:t xml:space="preserve"> информации, имеющей значение для Клиента.</w:t>
      </w:r>
    </w:p>
    <w:p w14:paraId="1FF02A92" w14:textId="77777777" w:rsidR="00821B08" w:rsidRPr="001657F0" w:rsidRDefault="00821B08" w:rsidP="00FA38F6">
      <w:pPr>
        <w:pStyle w:val="a4"/>
        <w:numPr>
          <w:ilvl w:val="0"/>
          <w:numId w:val="9"/>
        </w:numPr>
        <w:spacing w:after="0"/>
        <w:ind w:left="426" w:hanging="426"/>
        <w:jc w:val="both"/>
        <w:rPr>
          <w:rFonts w:ascii="Times New Roman" w:hAnsi="Times New Roman" w:cs="Times New Roman"/>
        </w:rPr>
      </w:pPr>
      <w:r w:rsidRPr="001657F0">
        <w:rPr>
          <w:rFonts w:ascii="Times New Roman" w:hAnsi="Times New Roman" w:cs="Times New Roman"/>
        </w:rPr>
        <w:t xml:space="preserve">Действие пункта 3.3. не распространяются на исполнение Поручения: </w:t>
      </w:r>
    </w:p>
    <w:p w14:paraId="5B9DDE4E" w14:textId="77777777" w:rsidR="00821B08" w:rsidRPr="001657F0" w:rsidRDefault="00821B08" w:rsidP="00FA38F6">
      <w:pPr>
        <w:pStyle w:val="a4"/>
        <w:numPr>
          <w:ilvl w:val="0"/>
          <w:numId w:val="13"/>
        </w:numPr>
        <w:spacing w:after="0"/>
        <w:jc w:val="both"/>
        <w:rPr>
          <w:rFonts w:ascii="Times New Roman" w:hAnsi="Times New Roman" w:cs="Times New Roman"/>
        </w:rPr>
      </w:pPr>
      <w:r w:rsidRPr="001657F0">
        <w:rPr>
          <w:rFonts w:ascii="Times New Roman" w:hAnsi="Times New Roman" w:cs="Times New Roman"/>
        </w:rPr>
        <w:t xml:space="preserve">эмитента  ценных  бумаг,  связанного  с  размещением  и/или  выкупом  собственных ценных бумаг; </w:t>
      </w:r>
    </w:p>
    <w:p w14:paraId="52664A2D" w14:textId="77777777" w:rsidR="00821B08" w:rsidRPr="001657F0" w:rsidRDefault="00821B08" w:rsidP="00FA38F6">
      <w:pPr>
        <w:pStyle w:val="a4"/>
        <w:numPr>
          <w:ilvl w:val="0"/>
          <w:numId w:val="13"/>
        </w:numPr>
        <w:spacing w:after="0"/>
        <w:jc w:val="both"/>
        <w:rPr>
          <w:rFonts w:ascii="Times New Roman" w:hAnsi="Times New Roman" w:cs="Times New Roman"/>
        </w:rPr>
      </w:pPr>
      <w:r w:rsidRPr="001657F0">
        <w:rPr>
          <w:rFonts w:ascii="Times New Roman" w:hAnsi="Times New Roman" w:cs="Times New Roman"/>
        </w:rPr>
        <w:t xml:space="preserve">лица, </w:t>
      </w:r>
      <w:r w:rsidR="00776594" w:rsidRPr="001657F0">
        <w:rPr>
          <w:rFonts w:ascii="Times New Roman" w:hAnsi="Times New Roman" w:cs="Times New Roman"/>
        </w:rPr>
        <w:t xml:space="preserve">являющегося квалифицированным инвестором </w:t>
      </w:r>
      <w:r w:rsidR="009F5573" w:rsidRPr="001657F0">
        <w:rPr>
          <w:rFonts w:ascii="Times New Roman" w:hAnsi="Times New Roman" w:cs="Times New Roman"/>
        </w:rPr>
        <w:t>в силу</w:t>
      </w:r>
      <w:r w:rsidRPr="001657F0">
        <w:rPr>
          <w:rFonts w:ascii="Times New Roman" w:hAnsi="Times New Roman" w:cs="Times New Roman"/>
        </w:rPr>
        <w:t xml:space="preserve">  закона  или иностранной  организацией,  если  указанное  лицо  действует  за  собственный  счет  и  Регламент  прямо  освобождает  Банк от обязанности исполнять поручения такого Клиента на лучших условиях; </w:t>
      </w:r>
    </w:p>
    <w:p w14:paraId="45A62144" w14:textId="6B458B0B" w:rsidR="00821B08" w:rsidRPr="001657F0" w:rsidRDefault="00821B08" w:rsidP="00FA38F6">
      <w:pPr>
        <w:pStyle w:val="a4"/>
        <w:numPr>
          <w:ilvl w:val="0"/>
          <w:numId w:val="13"/>
        </w:numPr>
        <w:spacing w:after="0"/>
        <w:jc w:val="both"/>
        <w:rPr>
          <w:rFonts w:ascii="Times New Roman" w:hAnsi="Times New Roman" w:cs="Times New Roman"/>
        </w:rPr>
      </w:pPr>
      <w:r w:rsidRPr="001657F0">
        <w:rPr>
          <w:rFonts w:ascii="Times New Roman" w:hAnsi="Times New Roman" w:cs="Times New Roman"/>
        </w:rPr>
        <w:t xml:space="preserve">Клиента сделать третьему лицу предложение на совершение Торговой операции с </w:t>
      </w:r>
      <w:r w:rsidR="00776594" w:rsidRPr="001657F0">
        <w:rPr>
          <w:rFonts w:ascii="Times New Roman" w:hAnsi="Times New Roman" w:cs="Times New Roman"/>
        </w:rPr>
        <w:t>указанием цены и</w:t>
      </w:r>
      <w:r w:rsidRPr="001657F0">
        <w:rPr>
          <w:rFonts w:ascii="Times New Roman" w:hAnsi="Times New Roman" w:cs="Times New Roman"/>
        </w:rPr>
        <w:t>/</w:t>
      </w:r>
      <w:r w:rsidR="00776594" w:rsidRPr="001657F0">
        <w:rPr>
          <w:rFonts w:ascii="Times New Roman" w:hAnsi="Times New Roman" w:cs="Times New Roman"/>
        </w:rPr>
        <w:t xml:space="preserve">или </w:t>
      </w:r>
      <w:r w:rsidR="009F5573" w:rsidRPr="001657F0">
        <w:rPr>
          <w:rFonts w:ascii="Times New Roman" w:hAnsi="Times New Roman" w:cs="Times New Roman"/>
        </w:rPr>
        <w:t>иных условий</w:t>
      </w:r>
      <w:r w:rsidRPr="001657F0">
        <w:rPr>
          <w:rFonts w:ascii="Times New Roman" w:hAnsi="Times New Roman" w:cs="Times New Roman"/>
        </w:rPr>
        <w:t xml:space="preserve">,  которые  Банк  в  соответствии  с  условиями  </w:t>
      </w:r>
      <w:r w:rsidR="00860033" w:rsidRPr="001657F0">
        <w:rPr>
          <w:rFonts w:ascii="Times New Roman" w:hAnsi="Times New Roman" w:cs="Times New Roman"/>
        </w:rPr>
        <w:t xml:space="preserve"> Договора</w:t>
      </w:r>
      <w:r w:rsidRPr="001657F0">
        <w:rPr>
          <w:rFonts w:ascii="Times New Roman" w:hAnsi="Times New Roman" w:cs="Times New Roman"/>
        </w:rPr>
        <w:t xml:space="preserve">  не вправе изменять, либо принять конкретное предложение третьего лица на совершение сделки по указанной в нем цене и/или на указанных в нем иных условиях; </w:t>
      </w:r>
    </w:p>
    <w:p w14:paraId="11570AD8" w14:textId="77777777" w:rsidR="004E0223" w:rsidRPr="001657F0" w:rsidRDefault="00776594" w:rsidP="00FA38F6">
      <w:pPr>
        <w:pStyle w:val="a4"/>
        <w:numPr>
          <w:ilvl w:val="0"/>
          <w:numId w:val="13"/>
        </w:numPr>
        <w:spacing w:after="0"/>
        <w:jc w:val="both"/>
        <w:rPr>
          <w:rFonts w:ascii="Times New Roman" w:hAnsi="Times New Roman" w:cs="Times New Roman"/>
        </w:rPr>
      </w:pPr>
      <w:r w:rsidRPr="001657F0">
        <w:rPr>
          <w:rFonts w:ascii="Times New Roman" w:hAnsi="Times New Roman" w:cs="Times New Roman"/>
        </w:rPr>
        <w:t xml:space="preserve">условия исполнения </w:t>
      </w:r>
      <w:r w:rsidR="009F5573" w:rsidRPr="001657F0">
        <w:rPr>
          <w:rFonts w:ascii="Times New Roman" w:hAnsi="Times New Roman" w:cs="Times New Roman"/>
        </w:rPr>
        <w:t>которого определены</w:t>
      </w:r>
      <w:r w:rsidR="00821B08" w:rsidRPr="001657F0">
        <w:rPr>
          <w:rFonts w:ascii="Times New Roman" w:hAnsi="Times New Roman" w:cs="Times New Roman"/>
        </w:rPr>
        <w:t xml:space="preserve">  Клиентом  в  Поручении  или предусмотрены Регламентом.</w:t>
      </w:r>
    </w:p>
    <w:p w14:paraId="7F8A4B32" w14:textId="77777777" w:rsidR="00D67627" w:rsidRPr="001657F0" w:rsidRDefault="00D67627" w:rsidP="00D67627">
      <w:pPr>
        <w:pStyle w:val="a4"/>
        <w:numPr>
          <w:ilvl w:val="0"/>
          <w:numId w:val="9"/>
        </w:numPr>
        <w:tabs>
          <w:tab w:val="left" w:pos="567"/>
        </w:tabs>
        <w:ind w:left="0" w:firstLine="0"/>
        <w:jc w:val="both"/>
        <w:rPr>
          <w:rFonts w:ascii="Times New Roman" w:hAnsi="Times New Roman" w:cs="Times New Roman"/>
        </w:rPr>
      </w:pPr>
      <w:r w:rsidRPr="001657F0">
        <w:rPr>
          <w:rFonts w:ascii="Times New Roman" w:hAnsi="Times New Roman" w:cs="Times New Roman"/>
        </w:rPr>
        <w:t>Любая конкретная инструкция Клиента, содержащаяся в Поручении, может препятствовать выполнению Банком мер, которые Банк разработал и применяет в соответствии с настоящей Политикой, имеющих целью достичь наилучшего возможного результата исполнения Поручений Клиента. Если Клиент требует, чтобы Поручение исполнялось определенным конкретным образом, то он должен четко выразить свой желаемый способ (метод) исполнения при подаче Поручения. В случае, когда конкретные инструкции не являются подробными, Банк будет определять любые неопределенные компоненты в соотв</w:t>
      </w:r>
      <w:r w:rsidR="00776594" w:rsidRPr="001657F0">
        <w:rPr>
          <w:rFonts w:ascii="Times New Roman" w:hAnsi="Times New Roman" w:cs="Times New Roman"/>
        </w:rPr>
        <w:t>етствии с настоящей Политикой.</w:t>
      </w:r>
    </w:p>
    <w:p w14:paraId="7773C23C" w14:textId="77777777" w:rsidR="00CD30B9" w:rsidRPr="001657F0" w:rsidRDefault="00CD30B9" w:rsidP="00AC68BE">
      <w:pPr>
        <w:pStyle w:val="a4"/>
        <w:numPr>
          <w:ilvl w:val="0"/>
          <w:numId w:val="9"/>
        </w:numPr>
        <w:tabs>
          <w:tab w:val="left" w:pos="426"/>
        </w:tabs>
        <w:spacing w:after="0"/>
        <w:ind w:left="0" w:firstLine="0"/>
        <w:jc w:val="both"/>
        <w:rPr>
          <w:rFonts w:ascii="Times New Roman" w:hAnsi="Times New Roman" w:cs="Times New Roman"/>
        </w:rPr>
      </w:pPr>
      <w:r w:rsidRPr="001657F0">
        <w:rPr>
          <w:rFonts w:ascii="Times New Roman" w:hAnsi="Times New Roman" w:cs="Times New Roman"/>
        </w:rPr>
        <w:t xml:space="preserve">Банк вправе самостоятельно определить приоритетность </w:t>
      </w:r>
      <w:r w:rsidR="00F17C58" w:rsidRPr="001657F0">
        <w:rPr>
          <w:rFonts w:ascii="Times New Roman" w:hAnsi="Times New Roman" w:cs="Times New Roman"/>
        </w:rPr>
        <w:t>условий</w:t>
      </w:r>
      <w:r w:rsidRPr="001657F0">
        <w:rPr>
          <w:rFonts w:ascii="Times New Roman" w:hAnsi="Times New Roman" w:cs="Times New Roman"/>
        </w:rPr>
        <w:t xml:space="preserve">, предусмотренных п. 3.3. настоящей Политики, действуя в интересах Клиента и исходя из сложившихся обстоятельств. Указанные факторы, определяющие совершение торговых операций на самых выгодных условиях, будут приниматься во внимание в порядке, который учитывает различные обстоятельства, связанные с исполнением поручений, и в зависимости от типа Финансовых активов, являющихся предметом поручения.  </w:t>
      </w:r>
    </w:p>
    <w:p w14:paraId="2EEF686A" w14:textId="77777777" w:rsidR="00EF386D" w:rsidRPr="001657F0" w:rsidRDefault="00EF386D" w:rsidP="00FA38F6">
      <w:pPr>
        <w:pStyle w:val="a4"/>
        <w:numPr>
          <w:ilvl w:val="0"/>
          <w:numId w:val="9"/>
        </w:numPr>
        <w:tabs>
          <w:tab w:val="left" w:pos="426"/>
        </w:tabs>
        <w:spacing w:after="0"/>
        <w:ind w:left="0" w:firstLine="0"/>
        <w:jc w:val="both"/>
        <w:rPr>
          <w:rFonts w:ascii="Times New Roman" w:hAnsi="Times New Roman" w:cs="Times New Roman"/>
        </w:rPr>
      </w:pPr>
      <w:r w:rsidRPr="001657F0">
        <w:rPr>
          <w:rFonts w:ascii="Times New Roman" w:hAnsi="Times New Roman" w:cs="Times New Roman"/>
        </w:rPr>
        <w:t xml:space="preserve">При определении Лучших условий, указанных в пункте 3.3 настоящей Политики, Банк руководствуется следующими критериями: </w:t>
      </w:r>
    </w:p>
    <w:p w14:paraId="318584A6" w14:textId="2F859C5F" w:rsidR="00EF386D" w:rsidRPr="001657F0" w:rsidRDefault="00EF386D" w:rsidP="00FA38F6">
      <w:pPr>
        <w:pStyle w:val="a4"/>
        <w:numPr>
          <w:ilvl w:val="0"/>
          <w:numId w:val="18"/>
        </w:numPr>
        <w:spacing w:after="0"/>
        <w:jc w:val="both"/>
        <w:rPr>
          <w:rFonts w:ascii="Times New Roman" w:hAnsi="Times New Roman" w:cs="Times New Roman"/>
        </w:rPr>
      </w:pPr>
      <w:r w:rsidRPr="001657F0">
        <w:rPr>
          <w:rFonts w:ascii="Times New Roman" w:hAnsi="Times New Roman" w:cs="Times New Roman"/>
        </w:rPr>
        <w:t xml:space="preserve">условия </w:t>
      </w:r>
      <w:r w:rsidR="005045CE" w:rsidRPr="001657F0">
        <w:rPr>
          <w:rFonts w:ascii="Times New Roman" w:hAnsi="Times New Roman" w:cs="Times New Roman"/>
        </w:rPr>
        <w:t xml:space="preserve">Договора </w:t>
      </w:r>
      <w:r w:rsidRPr="001657F0">
        <w:rPr>
          <w:rFonts w:ascii="Times New Roman" w:hAnsi="Times New Roman" w:cs="Times New Roman"/>
        </w:rPr>
        <w:t xml:space="preserve">и иных соглашений с Клиентом (при наличии таковых); </w:t>
      </w:r>
    </w:p>
    <w:p w14:paraId="6A3E9B7C" w14:textId="77777777" w:rsidR="00EF386D" w:rsidRPr="001657F0" w:rsidRDefault="00EF386D" w:rsidP="00FA38F6">
      <w:pPr>
        <w:pStyle w:val="a4"/>
        <w:numPr>
          <w:ilvl w:val="0"/>
          <w:numId w:val="18"/>
        </w:numPr>
        <w:spacing w:after="0"/>
        <w:jc w:val="both"/>
        <w:rPr>
          <w:rFonts w:ascii="Times New Roman" w:hAnsi="Times New Roman" w:cs="Times New Roman"/>
        </w:rPr>
      </w:pPr>
      <w:r w:rsidRPr="001657F0">
        <w:rPr>
          <w:rFonts w:ascii="Times New Roman" w:hAnsi="Times New Roman" w:cs="Times New Roman"/>
        </w:rPr>
        <w:t xml:space="preserve">категория Клиента (квалифицированный инвестор в силу закона, инвестор, признанный квалифицированным, или неквалифицированный инвестор); </w:t>
      </w:r>
    </w:p>
    <w:p w14:paraId="7EDFD350" w14:textId="10A60501" w:rsidR="00EF386D" w:rsidRPr="001657F0" w:rsidRDefault="003959AE" w:rsidP="00FA38F6">
      <w:pPr>
        <w:pStyle w:val="a4"/>
        <w:numPr>
          <w:ilvl w:val="0"/>
          <w:numId w:val="18"/>
        </w:numPr>
        <w:spacing w:after="0"/>
        <w:jc w:val="both"/>
        <w:rPr>
          <w:rFonts w:ascii="Times New Roman" w:hAnsi="Times New Roman" w:cs="Times New Roman"/>
        </w:rPr>
      </w:pPr>
      <w:r w:rsidRPr="001657F0">
        <w:rPr>
          <w:rFonts w:ascii="Times New Roman" w:hAnsi="Times New Roman" w:cs="Times New Roman"/>
        </w:rPr>
        <w:t>существо</w:t>
      </w:r>
      <w:r w:rsidR="00EF386D" w:rsidRPr="001657F0">
        <w:rPr>
          <w:rFonts w:ascii="Times New Roman" w:hAnsi="Times New Roman" w:cs="Times New Roman"/>
        </w:rPr>
        <w:t xml:space="preserve"> Поручения, включая специальные </w:t>
      </w:r>
      <w:r w:rsidRPr="001657F0">
        <w:rPr>
          <w:rFonts w:ascii="Times New Roman" w:hAnsi="Times New Roman" w:cs="Times New Roman"/>
        </w:rPr>
        <w:t>инструкции, если такие содержат</w:t>
      </w:r>
      <w:r w:rsidR="00EF386D" w:rsidRPr="001657F0">
        <w:rPr>
          <w:rFonts w:ascii="Times New Roman" w:hAnsi="Times New Roman" w:cs="Times New Roman"/>
        </w:rPr>
        <w:t xml:space="preserve">ся в Поручении; </w:t>
      </w:r>
    </w:p>
    <w:p w14:paraId="6BBA9A26" w14:textId="77777777" w:rsidR="00EF386D" w:rsidRPr="001657F0" w:rsidRDefault="00EF386D" w:rsidP="00FA38F6">
      <w:pPr>
        <w:pStyle w:val="a4"/>
        <w:numPr>
          <w:ilvl w:val="0"/>
          <w:numId w:val="18"/>
        </w:numPr>
        <w:spacing w:after="0"/>
        <w:jc w:val="both"/>
        <w:rPr>
          <w:rFonts w:ascii="Times New Roman" w:hAnsi="Times New Roman" w:cs="Times New Roman"/>
        </w:rPr>
      </w:pPr>
      <w:r w:rsidRPr="001657F0">
        <w:rPr>
          <w:rFonts w:ascii="Times New Roman" w:hAnsi="Times New Roman" w:cs="Times New Roman"/>
        </w:rPr>
        <w:t xml:space="preserve">характеристика финансового инструмента, в отношении которого дается Поручение; </w:t>
      </w:r>
    </w:p>
    <w:p w14:paraId="70B887D5" w14:textId="21A728C0" w:rsidR="00EF386D" w:rsidRPr="001657F0" w:rsidRDefault="00EF386D" w:rsidP="00FA38F6">
      <w:pPr>
        <w:pStyle w:val="a4"/>
        <w:numPr>
          <w:ilvl w:val="0"/>
          <w:numId w:val="18"/>
        </w:numPr>
        <w:spacing w:after="0"/>
        <w:jc w:val="both"/>
        <w:rPr>
          <w:rFonts w:ascii="Times New Roman" w:hAnsi="Times New Roman" w:cs="Times New Roman"/>
        </w:rPr>
      </w:pPr>
      <w:r w:rsidRPr="001657F0">
        <w:rPr>
          <w:rFonts w:ascii="Times New Roman" w:hAnsi="Times New Roman" w:cs="Times New Roman"/>
        </w:rPr>
        <w:t xml:space="preserve">торговые характеристики места исполнения Поручения или контрагента, через которого исполняется Поручение; </w:t>
      </w:r>
      <w:r w:rsidR="003959AE" w:rsidRPr="001657F0">
        <w:rPr>
          <w:rFonts w:ascii="Times New Roman" w:hAnsi="Times New Roman" w:cs="Times New Roman"/>
        </w:rPr>
        <w:t xml:space="preserve"> </w:t>
      </w:r>
      <w:r w:rsidR="0061545C" w:rsidRPr="001657F0">
        <w:rPr>
          <w:rFonts w:ascii="Times New Roman" w:hAnsi="Times New Roman" w:cs="Times New Roman"/>
        </w:rPr>
        <w:t xml:space="preserve"> </w:t>
      </w:r>
    </w:p>
    <w:p w14:paraId="723FE319" w14:textId="77777777" w:rsidR="00524FA2" w:rsidRPr="001657F0" w:rsidRDefault="00EF386D" w:rsidP="00FA38F6">
      <w:pPr>
        <w:pStyle w:val="a4"/>
        <w:numPr>
          <w:ilvl w:val="0"/>
          <w:numId w:val="18"/>
        </w:numPr>
        <w:spacing w:after="0"/>
        <w:jc w:val="both"/>
        <w:rPr>
          <w:rFonts w:ascii="Times New Roman" w:hAnsi="Times New Roman" w:cs="Times New Roman"/>
        </w:rPr>
      </w:pPr>
      <w:r w:rsidRPr="001657F0">
        <w:rPr>
          <w:rFonts w:ascii="Times New Roman" w:hAnsi="Times New Roman" w:cs="Times New Roman"/>
        </w:rPr>
        <w:t>сложившаяся практика и ограничения на совершение сделок на финансовом рынке и конкретные обстоятельства, сложившиеся на момент подачи Поручения Клиента / заключения сделки.</w:t>
      </w:r>
    </w:p>
    <w:p w14:paraId="25C37D3D" w14:textId="77777777" w:rsidR="00D36F53" w:rsidRPr="001657F0" w:rsidRDefault="00D36F53" w:rsidP="00D93D8B">
      <w:pPr>
        <w:pStyle w:val="a4"/>
        <w:numPr>
          <w:ilvl w:val="1"/>
          <w:numId w:val="20"/>
        </w:numPr>
        <w:tabs>
          <w:tab w:val="left" w:pos="426"/>
        </w:tabs>
        <w:spacing w:after="0"/>
        <w:ind w:left="0" w:firstLine="0"/>
        <w:jc w:val="both"/>
        <w:rPr>
          <w:rFonts w:ascii="Times New Roman" w:hAnsi="Times New Roman" w:cs="Times New Roman"/>
        </w:rPr>
      </w:pPr>
      <w:r w:rsidRPr="001657F0">
        <w:rPr>
          <w:rFonts w:ascii="Times New Roman" w:hAnsi="Times New Roman" w:cs="Times New Roman"/>
        </w:rPr>
        <w:lastRenderedPageBreak/>
        <w:t xml:space="preserve">Требование по исполнению Поручения Клиента на Лучших условиях считаются соблюденными Банком, если: </w:t>
      </w:r>
    </w:p>
    <w:p w14:paraId="6E1A8F7F" w14:textId="4BBAD6E7" w:rsidR="005D7C72" w:rsidRPr="001657F0" w:rsidRDefault="00D36F53" w:rsidP="00455826">
      <w:pPr>
        <w:pStyle w:val="a4"/>
        <w:numPr>
          <w:ilvl w:val="0"/>
          <w:numId w:val="21"/>
        </w:numPr>
        <w:spacing w:after="0"/>
        <w:jc w:val="both"/>
        <w:rPr>
          <w:rFonts w:ascii="Times New Roman" w:hAnsi="Times New Roman" w:cs="Times New Roman"/>
        </w:rPr>
      </w:pPr>
      <w:r w:rsidRPr="001657F0">
        <w:rPr>
          <w:rFonts w:ascii="Times New Roman" w:hAnsi="Times New Roman" w:cs="Times New Roman"/>
        </w:rPr>
        <w:t xml:space="preserve">Поручение было исполнено на торгах организатора торговли на основе заявок на покупку и заявок на продажу ценных бумаг и/или иностранной </w:t>
      </w:r>
      <w:r w:rsidR="009F5573" w:rsidRPr="001657F0">
        <w:rPr>
          <w:rFonts w:ascii="Times New Roman" w:hAnsi="Times New Roman" w:cs="Times New Roman"/>
        </w:rPr>
        <w:t>валюты, по наилучшим из</w:t>
      </w:r>
      <w:r w:rsidRPr="001657F0">
        <w:rPr>
          <w:rFonts w:ascii="Times New Roman" w:hAnsi="Times New Roman" w:cs="Times New Roman"/>
        </w:rPr>
        <w:t xml:space="preserve">  указанных  в  них  ценам  при  том, что  заявки  были  адресованы  всем  участникам  торгов  и  информация,  позволяющая идентифицировать подавших заявки участников торгов, не раскрывалась в ходе торгов другим участникам; и </w:t>
      </w:r>
      <w:r w:rsidR="0061545C" w:rsidRPr="001657F0">
        <w:rPr>
          <w:rFonts w:ascii="Times New Roman" w:hAnsi="Times New Roman" w:cs="Times New Roman"/>
          <w:b/>
        </w:rPr>
        <w:t xml:space="preserve"> </w:t>
      </w:r>
    </w:p>
    <w:p w14:paraId="0BFFDCD9" w14:textId="64233C2B" w:rsidR="00F04F66" w:rsidRPr="001657F0" w:rsidRDefault="00572E2D" w:rsidP="00FA38F6">
      <w:pPr>
        <w:pStyle w:val="a4"/>
        <w:numPr>
          <w:ilvl w:val="0"/>
          <w:numId w:val="21"/>
        </w:numPr>
        <w:spacing w:after="0"/>
        <w:jc w:val="both"/>
        <w:rPr>
          <w:rFonts w:ascii="Times New Roman" w:hAnsi="Times New Roman" w:cs="Times New Roman"/>
        </w:rPr>
      </w:pPr>
      <w:r w:rsidRPr="001657F0">
        <w:rPr>
          <w:rFonts w:ascii="Times New Roman" w:hAnsi="Times New Roman" w:cs="Times New Roman"/>
        </w:rPr>
        <w:t>из существа Поручения</w:t>
      </w:r>
      <w:r w:rsidR="00416F2A" w:rsidRPr="001657F0">
        <w:rPr>
          <w:rFonts w:ascii="Times New Roman" w:hAnsi="Times New Roman" w:cs="Times New Roman"/>
        </w:rPr>
        <w:t xml:space="preserve">, </w:t>
      </w:r>
      <w:r w:rsidRPr="001657F0">
        <w:rPr>
          <w:rFonts w:ascii="Times New Roman" w:hAnsi="Times New Roman" w:cs="Times New Roman"/>
        </w:rPr>
        <w:t xml:space="preserve">Договора </w:t>
      </w:r>
      <w:r w:rsidR="00D36F53" w:rsidRPr="001657F0">
        <w:rPr>
          <w:rFonts w:ascii="Times New Roman" w:hAnsi="Times New Roman" w:cs="Times New Roman"/>
        </w:rPr>
        <w:t>или характеристик финансового инструмента, в отношении  которого  было  дано  Поручение,  следовала  обязанность  Банка  исполнить  это Поручение не иначе как на торгах указанного организатора торговли.</w:t>
      </w:r>
    </w:p>
    <w:p w14:paraId="71C81EE9" w14:textId="77777777" w:rsidR="006E196D" w:rsidRPr="001657F0" w:rsidRDefault="006E196D" w:rsidP="006E196D">
      <w:pPr>
        <w:pStyle w:val="a4"/>
        <w:numPr>
          <w:ilvl w:val="0"/>
          <w:numId w:val="21"/>
        </w:numPr>
        <w:spacing w:after="0"/>
        <w:jc w:val="both"/>
        <w:rPr>
          <w:rFonts w:ascii="Times New Roman" w:hAnsi="Times New Roman" w:cs="Times New Roman"/>
        </w:rPr>
      </w:pPr>
      <w:r w:rsidRPr="001657F0">
        <w:rPr>
          <w:rFonts w:ascii="Times New Roman" w:hAnsi="Times New Roman" w:cs="Times New Roman"/>
        </w:rPr>
        <w:t xml:space="preserve">сделка на основе заявок на покупку и заявок на продажу финансовых инструментов совершена Клиентом путем самостоятельного выставления заявок на покупку и заявок на продажу финансовых инструментов с использованием электронных систем, предоставленных Банком и позволяющих передавать указанные заявки от Клиента к Организатору торгов;  </w:t>
      </w:r>
    </w:p>
    <w:p w14:paraId="2556C5AF" w14:textId="77777777" w:rsidR="006E196D" w:rsidRPr="001657F0" w:rsidRDefault="006E196D" w:rsidP="0061545C">
      <w:pPr>
        <w:pStyle w:val="a4"/>
        <w:numPr>
          <w:ilvl w:val="0"/>
          <w:numId w:val="21"/>
        </w:numPr>
        <w:spacing w:after="0"/>
        <w:rPr>
          <w:rFonts w:ascii="Times New Roman" w:hAnsi="Times New Roman" w:cs="Times New Roman"/>
        </w:rPr>
      </w:pPr>
      <w:r w:rsidRPr="001657F0">
        <w:rPr>
          <w:rFonts w:ascii="Times New Roman" w:hAnsi="Times New Roman" w:cs="Times New Roman"/>
        </w:rPr>
        <w:t xml:space="preserve">Поручение Клиента на совершение сделки содержит заранее определенную цену или </w:t>
      </w:r>
    </w:p>
    <w:p w14:paraId="0CEA99ED" w14:textId="77777777" w:rsidR="006E196D" w:rsidRPr="001657F0" w:rsidRDefault="006E196D" w:rsidP="0061545C">
      <w:pPr>
        <w:pStyle w:val="a4"/>
        <w:spacing w:after="0"/>
        <w:rPr>
          <w:rFonts w:ascii="Times New Roman" w:hAnsi="Times New Roman" w:cs="Times New Roman"/>
        </w:rPr>
      </w:pPr>
      <w:r w:rsidRPr="001657F0">
        <w:rPr>
          <w:rFonts w:ascii="Times New Roman" w:hAnsi="Times New Roman" w:cs="Times New Roman"/>
        </w:rPr>
        <w:t>однозначный порядок определения цены.</w:t>
      </w:r>
    </w:p>
    <w:p w14:paraId="1F1FDA4A" w14:textId="77777777" w:rsidR="006E196D" w:rsidRPr="001657F0" w:rsidRDefault="006E196D" w:rsidP="006E196D">
      <w:pPr>
        <w:pStyle w:val="a4"/>
        <w:numPr>
          <w:ilvl w:val="1"/>
          <w:numId w:val="20"/>
        </w:numPr>
        <w:tabs>
          <w:tab w:val="left" w:pos="426"/>
        </w:tabs>
        <w:spacing w:after="0"/>
        <w:ind w:left="0" w:firstLine="0"/>
        <w:jc w:val="both"/>
        <w:rPr>
          <w:rFonts w:ascii="Times New Roman" w:hAnsi="Times New Roman" w:cs="Times New Roman"/>
        </w:rPr>
      </w:pPr>
      <w:r w:rsidRPr="001657F0">
        <w:rPr>
          <w:rFonts w:ascii="Times New Roman" w:hAnsi="Times New Roman" w:cs="Times New Roman"/>
        </w:rPr>
        <w:t>Банк не принимает к исполнению длящиеся Поручения, не содержащие конкретных указаний Клиента и фактически направленные на осуществление Банком управления имуществом Клиента. При этом под длящимся Поручением понимается Поручение, предусматривающее возможность неоднократного его исполнения при наступлении условий, предусмотренных поручением и/или Соглашением.</w:t>
      </w:r>
    </w:p>
    <w:p w14:paraId="14D76549" w14:textId="57B68FC8" w:rsidR="006E196D" w:rsidRPr="001657F0" w:rsidRDefault="006E196D" w:rsidP="00321353">
      <w:pPr>
        <w:pStyle w:val="a4"/>
        <w:numPr>
          <w:ilvl w:val="1"/>
          <w:numId w:val="20"/>
        </w:numPr>
        <w:tabs>
          <w:tab w:val="left" w:pos="426"/>
          <w:tab w:val="left" w:pos="567"/>
        </w:tabs>
        <w:spacing w:after="0"/>
        <w:ind w:left="0" w:firstLine="0"/>
        <w:jc w:val="both"/>
        <w:rPr>
          <w:rFonts w:ascii="Times New Roman" w:hAnsi="Times New Roman" w:cs="Times New Roman"/>
        </w:rPr>
      </w:pPr>
      <w:r w:rsidRPr="001657F0">
        <w:rPr>
          <w:rFonts w:ascii="Times New Roman" w:hAnsi="Times New Roman" w:cs="Times New Roman"/>
        </w:rPr>
        <w:t>В случае если интересы Клиента или иные обстоятельства вынуждают Банк отступить от принципа совершения торговых операций за счет Клиента на лучших услови</w:t>
      </w:r>
      <w:r w:rsidR="00BC6425" w:rsidRPr="001657F0">
        <w:rPr>
          <w:rFonts w:ascii="Times New Roman" w:hAnsi="Times New Roman" w:cs="Times New Roman"/>
        </w:rPr>
        <w:t xml:space="preserve">ях, Банк </w:t>
      </w:r>
      <w:r w:rsidR="00321353" w:rsidRPr="001657F0">
        <w:rPr>
          <w:rFonts w:ascii="Times New Roman" w:hAnsi="Times New Roman" w:cs="Times New Roman"/>
        </w:rPr>
        <w:t xml:space="preserve">по требованию Клиента, Национальной ассоциации участников фондового рынка (НАУФОР) </w:t>
      </w:r>
      <w:r w:rsidRPr="001657F0">
        <w:rPr>
          <w:rFonts w:ascii="Times New Roman" w:hAnsi="Times New Roman" w:cs="Times New Roman"/>
        </w:rPr>
        <w:t>обязан предоставить разъяснения своих действий и подтвердить указанные обстоятельства.</w:t>
      </w:r>
    </w:p>
    <w:p w14:paraId="26556794" w14:textId="77777777" w:rsidR="00416F2A" w:rsidRPr="001657F0" w:rsidRDefault="00416F2A" w:rsidP="00416F2A">
      <w:pPr>
        <w:pStyle w:val="a4"/>
        <w:numPr>
          <w:ilvl w:val="1"/>
          <w:numId w:val="20"/>
        </w:numPr>
        <w:tabs>
          <w:tab w:val="left" w:pos="567"/>
        </w:tabs>
        <w:ind w:left="0" w:firstLine="0"/>
        <w:jc w:val="both"/>
        <w:rPr>
          <w:rFonts w:ascii="Times New Roman" w:hAnsi="Times New Roman" w:cs="Times New Roman"/>
        </w:rPr>
      </w:pPr>
      <w:r w:rsidRPr="001657F0">
        <w:rPr>
          <w:rFonts w:ascii="Times New Roman" w:hAnsi="Times New Roman" w:cs="Times New Roman"/>
        </w:rPr>
        <w:t xml:space="preserve">Банк не использует ценные бумаги клиентов в собственных интересах, в том числе для исполнения обязательств по сделкам, совершенным за счет Банка. </w:t>
      </w:r>
    </w:p>
    <w:p w14:paraId="35736C3D" w14:textId="03824365" w:rsidR="00687F43" w:rsidRPr="001657F0" w:rsidRDefault="00ED63E6" w:rsidP="00687F43">
      <w:pPr>
        <w:pStyle w:val="a4"/>
        <w:numPr>
          <w:ilvl w:val="1"/>
          <w:numId w:val="20"/>
        </w:numPr>
        <w:tabs>
          <w:tab w:val="left" w:pos="567"/>
        </w:tabs>
        <w:ind w:left="0" w:firstLine="0"/>
        <w:jc w:val="both"/>
        <w:rPr>
          <w:rFonts w:ascii="Times New Roman" w:hAnsi="Times New Roman" w:cs="Times New Roman"/>
        </w:rPr>
      </w:pPr>
      <w:r w:rsidRPr="001657F0">
        <w:rPr>
          <w:rFonts w:ascii="Times New Roman" w:hAnsi="Times New Roman" w:cs="Times New Roman"/>
        </w:rPr>
        <w:t>Объединение ценных бумаг К</w:t>
      </w:r>
      <w:r w:rsidR="00687F43" w:rsidRPr="001657F0">
        <w:rPr>
          <w:rFonts w:ascii="Times New Roman" w:hAnsi="Times New Roman" w:cs="Times New Roman"/>
        </w:rPr>
        <w:t>лиентов на торговом счете (</w:t>
      </w:r>
      <w:proofErr w:type="spellStart"/>
      <w:r w:rsidR="00687F43" w:rsidRPr="001657F0">
        <w:rPr>
          <w:rFonts w:ascii="Times New Roman" w:hAnsi="Times New Roman" w:cs="Times New Roman"/>
        </w:rPr>
        <w:t>субсчете</w:t>
      </w:r>
      <w:proofErr w:type="spellEnd"/>
      <w:r w:rsidR="00687F43" w:rsidRPr="001657F0">
        <w:rPr>
          <w:rFonts w:ascii="Times New Roman" w:hAnsi="Times New Roman" w:cs="Times New Roman"/>
        </w:rPr>
        <w:t>) депо номинального держателя, а также их использование в качестве клирингового обеспечения не является использованием ценных бумаг в интересах Ба</w:t>
      </w:r>
      <w:r w:rsidRPr="001657F0">
        <w:rPr>
          <w:rFonts w:ascii="Times New Roman" w:hAnsi="Times New Roman" w:cs="Times New Roman"/>
        </w:rPr>
        <w:t>нка, если ценных бумаг каждого К</w:t>
      </w:r>
      <w:r w:rsidR="00687F43" w:rsidRPr="001657F0">
        <w:rPr>
          <w:rFonts w:ascii="Times New Roman" w:hAnsi="Times New Roman" w:cs="Times New Roman"/>
        </w:rPr>
        <w:t>лиента, объединенных таким обр</w:t>
      </w:r>
      <w:r w:rsidRPr="001657F0">
        <w:rPr>
          <w:rFonts w:ascii="Times New Roman" w:hAnsi="Times New Roman" w:cs="Times New Roman"/>
        </w:rPr>
        <w:t>азом с ценными бумагами других К</w:t>
      </w:r>
      <w:r w:rsidR="00687F43" w:rsidRPr="001657F0">
        <w:rPr>
          <w:rFonts w:ascii="Times New Roman" w:hAnsi="Times New Roman" w:cs="Times New Roman"/>
        </w:rPr>
        <w:t>лиентов, достаточно для исполнения обязательств из сдел</w:t>
      </w:r>
      <w:r w:rsidRPr="001657F0">
        <w:rPr>
          <w:rFonts w:ascii="Times New Roman" w:hAnsi="Times New Roman" w:cs="Times New Roman"/>
        </w:rPr>
        <w:t>ок, совершенных за счет такого К</w:t>
      </w:r>
      <w:r w:rsidR="00687F43" w:rsidRPr="001657F0">
        <w:rPr>
          <w:rFonts w:ascii="Times New Roman" w:hAnsi="Times New Roman" w:cs="Times New Roman"/>
        </w:rPr>
        <w:t>лиента, с учетом ценных б</w:t>
      </w:r>
      <w:r w:rsidRPr="001657F0">
        <w:rPr>
          <w:rFonts w:ascii="Times New Roman" w:hAnsi="Times New Roman" w:cs="Times New Roman"/>
        </w:rPr>
        <w:t>умаг, которые должны поступить К</w:t>
      </w:r>
      <w:r w:rsidR="00687F43" w:rsidRPr="001657F0">
        <w:rPr>
          <w:rFonts w:ascii="Times New Roman" w:hAnsi="Times New Roman" w:cs="Times New Roman"/>
        </w:rPr>
        <w:t>ли</w:t>
      </w:r>
      <w:r w:rsidRPr="001657F0">
        <w:rPr>
          <w:rFonts w:ascii="Times New Roman" w:hAnsi="Times New Roman" w:cs="Times New Roman"/>
        </w:rPr>
        <w:t>енту либо должны быть переданы К</w:t>
      </w:r>
      <w:r w:rsidR="00687F43" w:rsidRPr="001657F0">
        <w:rPr>
          <w:rFonts w:ascii="Times New Roman" w:hAnsi="Times New Roman" w:cs="Times New Roman"/>
        </w:rPr>
        <w:t>лиентом по ранее совершенным, но еще не исполненным сделкам.</w:t>
      </w:r>
    </w:p>
    <w:p w14:paraId="280C20FA" w14:textId="77777777" w:rsidR="00FA38F6" w:rsidRPr="001657F0" w:rsidRDefault="00FA38F6" w:rsidP="00FA38F6">
      <w:pPr>
        <w:spacing w:after="0"/>
        <w:jc w:val="both"/>
        <w:rPr>
          <w:rFonts w:ascii="Times New Roman" w:hAnsi="Times New Roman" w:cs="Times New Roman"/>
        </w:rPr>
      </w:pPr>
    </w:p>
    <w:p w14:paraId="7459CEDD" w14:textId="77777777" w:rsidR="000B7381" w:rsidRPr="001657F0" w:rsidRDefault="000B7381" w:rsidP="00FA38F6">
      <w:pPr>
        <w:pStyle w:val="a4"/>
        <w:numPr>
          <w:ilvl w:val="0"/>
          <w:numId w:val="25"/>
        </w:numPr>
        <w:spacing w:after="0"/>
        <w:jc w:val="center"/>
        <w:rPr>
          <w:rFonts w:ascii="Times New Roman" w:hAnsi="Times New Roman" w:cs="Times New Roman"/>
          <w:b/>
        </w:rPr>
      </w:pPr>
      <w:r w:rsidRPr="001657F0">
        <w:rPr>
          <w:rFonts w:ascii="Times New Roman" w:hAnsi="Times New Roman" w:cs="Times New Roman"/>
          <w:b/>
        </w:rPr>
        <w:t>Ответственность и контроль</w:t>
      </w:r>
    </w:p>
    <w:p w14:paraId="3461EF65" w14:textId="77777777" w:rsidR="000B7381" w:rsidRPr="001657F0" w:rsidRDefault="000B7381" w:rsidP="00FA38F6">
      <w:pPr>
        <w:spacing w:after="0"/>
        <w:jc w:val="both"/>
        <w:rPr>
          <w:rFonts w:ascii="Times New Roman" w:hAnsi="Times New Roman" w:cs="Times New Roman"/>
        </w:rPr>
      </w:pPr>
    </w:p>
    <w:p w14:paraId="2C29B9F4" w14:textId="77777777" w:rsidR="000B7381" w:rsidRPr="001657F0" w:rsidRDefault="000B7381" w:rsidP="00FA38F6">
      <w:pPr>
        <w:pStyle w:val="a4"/>
        <w:numPr>
          <w:ilvl w:val="0"/>
          <w:numId w:val="23"/>
        </w:numPr>
        <w:tabs>
          <w:tab w:val="left" w:pos="567"/>
        </w:tabs>
        <w:spacing w:after="0"/>
        <w:ind w:left="0" w:firstLine="0"/>
        <w:jc w:val="both"/>
        <w:rPr>
          <w:rFonts w:ascii="Times New Roman" w:hAnsi="Times New Roman" w:cs="Times New Roman"/>
        </w:rPr>
      </w:pPr>
      <w:r w:rsidRPr="001657F0">
        <w:rPr>
          <w:rFonts w:ascii="Times New Roman" w:hAnsi="Times New Roman" w:cs="Times New Roman"/>
        </w:rPr>
        <w:t>Ответственность за реализацию Политики несет Подразделение по работе с ценными бумагами.</w:t>
      </w:r>
    </w:p>
    <w:p w14:paraId="57CF8B53" w14:textId="781F557C" w:rsidR="000B7381" w:rsidRPr="0056475F" w:rsidRDefault="0056475F" w:rsidP="0056475F">
      <w:pPr>
        <w:pStyle w:val="a4"/>
        <w:numPr>
          <w:ilvl w:val="0"/>
          <w:numId w:val="23"/>
        </w:numPr>
        <w:tabs>
          <w:tab w:val="left" w:pos="567"/>
        </w:tabs>
        <w:spacing w:after="0"/>
        <w:ind w:left="0" w:firstLine="0"/>
        <w:jc w:val="both"/>
        <w:rPr>
          <w:rFonts w:ascii="Times New Roman" w:hAnsi="Times New Roman" w:cs="Times New Roman"/>
          <w:color w:val="0033CC"/>
        </w:rPr>
      </w:pPr>
      <w:r w:rsidRPr="0056475F">
        <w:rPr>
          <w:rFonts w:ascii="Times New Roman" w:hAnsi="Times New Roman" w:cs="Times New Roman"/>
          <w:color w:val="0033CC"/>
        </w:rPr>
        <w:t>Осуществление внутреннего контроля за соблюдением требований настоящей Политики, обеспечение соблюдения Банком требований законодательства Российской Федерации о рынке ценных бумаг, в том числе нормативных правовых актов Банка России, возлагается на Службу внутреннего контроля  в соответствии с  Правилами внутреннего контроля за осуществлением АКБ "</w:t>
      </w:r>
      <w:proofErr w:type="spellStart"/>
      <w:r w:rsidRPr="0056475F">
        <w:rPr>
          <w:rFonts w:ascii="Times New Roman" w:hAnsi="Times New Roman" w:cs="Times New Roman"/>
          <w:color w:val="0033CC"/>
        </w:rPr>
        <w:t>Алмазэргиэнбанк</w:t>
      </w:r>
      <w:proofErr w:type="spellEnd"/>
      <w:r w:rsidRPr="0056475F">
        <w:rPr>
          <w:rFonts w:ascii="Times New Roman" w:hAnsi="Times New Roman" w:cs="Times New Roman"/>
          <w:color w:val="0033CC"/>
        </w:rPr>
        <w:t>" АО  профессиональной деятельности на рынке ценных бумаг №1136-ПВ.</w:t>
      </w:r>
    </w:p>
    <w:p w14:paraId="5020C625" w14:textId="390AACA1" w:rsidR="000B7381" w:rsidRPr="0056475F" w:rsidRDefault="0056475F" w:rsidP="0056475F">
      <w:pPr>
        <w:pStyle w:val="a4"/>
        <w:tabs>
          <w:tab w:val="left" w:pos="567"/>
        </w:tabs>
        <w:spacing w:after="0"/>
        <w:ind w:left="0"/>
        <w:jc w:val="both"/>
        <w:rPr>
          <w:rFonts w:ascii="Times New Roman" w:hAnsi="Times New Roman" w:cs="Times New Roman"/>
          <w:i/>
          <w:color w:val="0033CC"/>
        </w:rPr>
      </w:pPr>
      <w:r w:rsidRPr="0056475F">
        <w:rPr>
          <w:rFonts w:ascii="Times New Roman" w:hAnsi="Times New Roman" w:cs="Times New Roman"/>
          <w:i/>
          <w:color w:val="0033CC"/>
        </w:rPr>
        <w:t>(п.4.2 в ред. Изм.№1 от 17.12.2021)</w:t>
      </w:r>
      <w:bookmarkStart w:id="0" w:name="_GoBack"/>
      <w:bookmarkEnd w:id="0"/>
    </w:p>
    <w:p w14:paraId="145E4EDD" w14:textId="77777777" w:rsidR="000B7381" w:rsidRPr="001657F0" w:rsidRDefault="000B7381" w:rsidP="00FA38F6">
      <w:pPr>
        <w:pStyle w:val="a4"/>
        <w:numPr>
          <w:ilvl w:val="0"/>
          <w:numId w:val="23"/>
        </w:numPr>
        <w:tabs>
          <w:tab w:val="left" w:pos="567"/>
        </w:tabs>
        <w:spacing w:after="0"/>
        <w:ind w:left="0" w:firstLine="0"/>
        <w:jc w:val="both"/>
        <w:rPr>
          <w:rFonts w:ascii="Times New Roman" w:hAnsi="Times New Roman" w:cs="Times New Roman"/>
        </w:rPr>
      </w:pPr>
      <w:r w:rsidRPr="001657F0">
        <w:rPr>
          <w:rFonts w:ascii="Times New Roman" w:hAnsi="Times New Roman" w:cs="Times New Roman"/>
        </w:rPr>
        <w:t>Служба внутреннего аудита осуществляет контроль за выполнением настоящей Политики в ходе плановых проверок, утвержденных Наблюдательным советом Банка.</w:t>
      </w:r>
    </w:p>
    <w:p w14:paraId="01042A76" w14:textId="77777777" w:rsidR="000B7381" w:rsidRPr="001657F0" w:rsidRDefault="000B7381" w:rsidP="00FA38F6">
      <w:pPr>
        <w:pStyle w:val="a4"/>
        <w:tabs>
          <w:tab w:val="left" w:pos="567"/>
        </w:tabs>
        <w:spacing w:after="0"/>
        <w:ind w:left="0"/>
        <w:jc w:val="both"/>
        <w:rPr>
          <w:rFonts w:ascii="Times New Roman" w:hAnsi="Times New Roman" w:cs="Times New Roman"/>
        </w:rPr>
      </w:pPr>
    </w:p>
    <w:p w14:paraId="17DDB0DC" w14:textId="77777777" w:rsidR="00FA38F6" w:rsidRPr="001657F0" w:rsidRDefault="00FA38F6" w:rsidP="00FA38F6">
      <w:pPr>
        <w:pStyle w:val="a4"/>
        <w:tabs>
          <w:tab w:val="left" w:pos="567"/>
        </w:tabs>
        <w:spacing w:after="0"/>
        <w:ind w:left="0"/>
        <w:jc w:val="both"/>
        <w:rPr>
          <w:rFonts w:ascii="Times New Roman" w:hAnsi="Times New Roman" w:cs="Times New Roman"/>
        </w:rPr>
      </w:pPr>
    </w:p>
    <w:p w14:paraId="2ED6A00C" w14:textId="77777777" w:rsidR="00572E2D" w:rsidRPr="001657F0" w:rsidRDefault="00572E2D" w:rsidP="00FA38F6">
      <w:pPr>
        <w:pStyle w:val="a4"/>
        <w:numPr>
          <w:ilvl w:val="0"/>
          <w:numId w:val="24"/>
        </w:numPr>
        <w:spacing w:after="0"/>
        <w:jc w:val="center"/>
        <w:rPr>
          <w:rFonts w:ascii="Times New Roman" w:hAnsi="Times New Roman" w:cs="Times New Roman"/>
          <w:b/>
        </w:rPr>
      </w:pPr>
      <w:r w:rsidRPr="001657F0">
        <w:rPr>
          <w:rFonts w:ascii="Times New Roman" w:hAnsi="Times New Roman" w:cs="Times New Roman"/>
          <w:b/>
        </w:rPr>
        <w:t xml:space="preserve"> Заключительные положения</w:t>
      </w:r>
    </w:p>
    <w:p w14:paraId="7AC6AD35" w14:textId="77777777" w:rsidR="006102D9" w:rsidRPr="001657F0" w:rsidRDefault="006102D9" w:rsidP="00FA38F6">
      <w:pPr>
        <w:pStyle w:val="a4"/>
        <w:spacing w:after="0"/>
        <w:ind w:left="360"/>
        <w:rPr>
          <w:rFonts w:ascii="Times New Roman" w:hAnsi="Times New Roman" w:cs="Times New Roman"/>
          <w:b/>
        </w:rPr>
      </w:pPr>
    </w:p>
    <w:p w14:paraId="32EFBF55" w14:textId="77777777" w:rsidR="00AE6798" w:rsidRPr="001657F0" w:rsidRDefault="00AE6798" w:rsidP="00FA38F6">
      <w:pPr>
        <w:pStyle w:val="a4"/>
        <w:numPr>
          <w:ilvl w:val="0"/>
          <w:numId w:val="22"/>
        </w:numPr>
        <w:tabs>
          <w:tab w:val="left" w:pos="426"/>
        </w:tabs>
        <w:spacing w:after="0"/>
        <w:ind w:left="0" w:firstLine="0"/>
        <w:jc w:val="both"/>
        <w:rPr>
          <w:rFonts w:ascii="Times New Roman" w:hAnsi="Times New Roman" w:cs="Times New Roman"/>
        </w:rPr>
      </w:pPr>
      <w:r w:rsidRPr="001657F0">
        <w:rPr>
          <w:rFonts w:ascii="Times New Roman" w:hAnsi="Times New Roman" w:cs="Times New Roman"/>
        </w:rPr>
        <w:lastRenderedPageBreak/>
        <w:t>Настоящая Политика утверждается и вводится решением Правления Банка</w:t>
      </w:r>
      <w:r w:rsidR="000B7381" w:rsidRPr="001657F0">
        <w:rPr>
          <w:rFonts w:ascii="Times New Roman" w:hAnsi="Times New Roman" w:cs="Times New Roman"/>
        </w:rPr>
        <w:t xml:space="preserve"> и подлежит раскрытию </w:t>
      </w:r>
      <w:r w:rsidRPr="001657F0">
        <w:rPr>
          <w:rFonts w:ascii="Times New Roman" w:hAnsi="Times New Roman" w:cs="Times New Roman"/>
        </w:rPr>
        <w:t xml:space="preserve">на официальном сайте Банка в информационно-телекоммуникационной сети «Интернет».  </w:t>
      </w:r>
    </w:p>
    <w:p w14:paraId="328BDF7F" w14:textId="77777777" w:rsidR="00572E2D" w:rsidRPr="001657F0" w:rsidRDefault="00572E2D" w:rsidP="00FA38F6">
      <w:pPr>
        <w:pStyle w:val="a4"/>
        <w:numPr>
          <w:ilvl w:val="0"/>
          <w:numId w:val="22"/>
        </w:numPr>
        <w:tabs>
          <w:tab w:val="left" w:pos="426"/>
        </w:tabs>
        <w:spacing w:after="0"/>
        <w:ind w:left="0" w:firstLine="0"/>
        <w:jc w:val="both"/>
        <w:rPr>
          <w:rFonts w:ascii="Times New Roman" w:hAnsi="Times New Roman" w:cs="Times New Roman"/>
        </w:rPr>
      </w:pPr>
      <w:r w:rsidRPr="001657F0">
        <w:rPr>
          <w:rFonts w:ascii="Times New Roman" w:hAnsi="Times New Roman" w:cs="Times New Roman"/>
        </w:rPr>
        <w:t>Внесение изменений и/или дополнений в настоящую Политику производится Банком в одностороннем порядке с учетом требований законодательства Российской Федерации</w:t>
      </w:r>
      <w:r w:rsidR="006724F9" w:rsidRPr="001657F0">
        <w:rPr>
          <w:rFonts w:ascii="Times New Roman" w:hAnsi="Times New Roman" w:cs="Times New Roman"/>
        </w:rPr>
        <w:t xml:space="preserve"> </w:t>
      </w:r>
      <w:r w:rsidR="009F5573" w:rsidRPr="001657F0">
        <w:rPr>
          <w:rFonts w:ascii="Times New Roman" w:hAnsi="Times New Roman" w:cs="Times New Roman"/>
        </w:rPr>
        <w:t>и Базовых</w:t>
      </w:r>
      <w:r w:rsidR="006724F9" w:rsidRPr="001657F0">
        <w:rPr>
          <w:rFonts w:ascii="Times New Roman" w:hAnsi="Times New Roman" w:cs="Times New Roman"/>
        </w:rPr>
        <w:t xml:space="preserve"> стандартов</w:t>
      </w:r>
      <w:r w:rsidR="00A27CFC" w:rsidRPr="001657F0">
        <w:rPr>
          <w:rFonts w:ascii="Times New Roman" w:hAnsi="Times New Roman" w:cs="Times New Roman"/>
        </w:rPr>
        <w:t>.</w:t>
      </w:r>
      <w:r w:rsidR="006724F9" w:rsidRPr="001657F0">
        <w:rPr>
          <w:rFonts w:ascii="Times New Roman" w:hAnsi="Times New Roman" w:cs="Times New Roman"/>
        </w:rPr>
        <w:t xml:space="preserve">  </w:t>
      </w:r>
    </w:p>
    <w:p w14:paraId="3B09C6C8" w14:textId="77777777" w:rsidR="00572E2D" w:rsidRPr="001657F0" w:rsidRDefault="00572E2D" w:rsidP="00FA38F6">
      <w:pPr>
        <w:pStyle w:val="a4"/>
        <w:spacing w:after="0"/>
        <w:ind w:left="426"/>
        <w:jc w:val="both"/>
        <w:rPr>
          <w:rFonts w:ascii="Times New Roman" w:hAnsi="Times New Roman" w:cs="Times New Roman"/>
        </w:rPr>
      </w:pPr>
    </w:p>
    <w:p w14:paraId="011BB09D" w14:textId="77777777" w:rsidR="00135541" w:rsidRPr="001657F0" w:rsidRDefault="00135541" w:rsidP="00FA38F6">
      <w:pPr>
        <w:spacing w:after="0"/>
        <w:jc w:val="both"/>
        <w:rPr>
          <w:rFonts w:ascii="Times New Roman" w:hAnsi="Times New Roman" w:cs="Times New Roman"/>
        </w:rPr>
      </w:pPr>
    </w:p>
    <w:p w14:paraId="1E53353A" w14:textId="77777777" w:rsidR="00524FA2" w:rsidRPr="001657F0" w:rsidRDefault="00572E2D" w:rsidP="00FA38F6">
      <w:pPr>
        <w:spacing w:after="0"/>
        <w:jc w:val="both"/>
        <w:rPr>
          <w:rFonts w:ascii="Times New Roman" w:hAnsi="Times New Roman" w:cs="Times New Roman"/>
        </w:rPr>
      </w:pPr>
      <w:r w:rsidRPr="001657F0">
        <w:rPr>
          <w:rFonts w:ascii="Times New Roman" w:hAnsi="Times New Roman" w:cs="Times New Roman"/>
        </w:rPr>
        <w:t xml:space="preserve"> </w:t>
      </w:r>
    </w:p>
    <w:p w14:paraId="792DC2C4" w14:textId="77777777" w:rsidR="00524FA2" w:rsidRPr="001657F0" w:rsidRDefault="00524FA2" w:rsidP="00FA38F6">
      <w:pPr>
        <w:spacing w:after="0"/>
        <w:jc w:val="both"/>
        <w:rPr>
          <w:rFonts w:ascii="Times New Roman" w:hAnsi="Times New Roman" w:cs="Times New Roman"/>
        </w:rPr>
      </w:pPr>
      <w:r w:rsidRPr="001657F0">
        <w:rPr>
          <w:rFonts w:ascii="Times New Roman" w:hAnsi="Times New Roman" w:cs="Times New Roman"/>
        </w:rPr>
        <w:t xml:space="preserve"> </w:t>
      </w:r>
    </w:p>
    <w:p w14:paraId="6B95D698" w14:textId="77777777" w:rsidR="00524FA2" w:rsidRPr="001657F0" w:rsidRDefault="00524FA2" w:rsidP="00FA38F6">
      <w:pPr>
        <w:spacing w:after="0"/>
        <w:jc w:val="both"/>
        <w:rPr>
          <w:rFonts w:ascii="Times New Roman" w:hAnsi="Times New Roman" w:cs="Times New Roman"/>
        </w:rPr>
      </w:pPr>
      <w:r w:rsidRPr="001657F0">
        <w:rPr>
          <w:rFonts w:ascii="Times New Roman" w:hAnsi="Times New Roman" w:cs="Times New Roman"/>
        </w:rPr>
        <w:t xml:space="preserve"> </w:t>
      </w:r>
    </w:p>
    <w:p w14:paraId="6E567156" w14:textId="77777777" w:rsidR="00940646" w:rsidRPr="001657F0" w:rsidRDefault="00524FA2" w:rsidP="00FA38F6">
      <w:pPr>
        <w:spacing w:after="0"/>
        <w:jc w:val="both"/>
        <w:rPr>
          <w:rFonts w:ascii="Times New Roman" w:hAnsi="Times New Roman" w:cs="Times New Roman"/>
        </w:rPr>
      </w:pPr>
      <w:r w:rsidRPr="001657F0">
        <w:rPr>
          <w:rFonts w:ascii="Times New Roman" w:hAnsi="Times New Roman" w:cs="Times New Roman"/>
        </w:rPr>
        <w:t xml:space="preserve"> </w:t>
      </w:r>
    </w:p>
    <w:sectPr w:rsidR="00940646" w:rsidRPr="001657F0" w:rsidSect="00694874">
      <w:footerReference w:type="default" r:id="rId8"/>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275D0" w14:textId="77777777" w:rsidR="00F33494" w:rsidRDefault="00F33494" w:rsidP="00F33494">
      <w:pPr>
        <w:spacing w:after="0" w:line="240" w:lineRule="auto"/>
      </w:pPr>
      <w:r>
        <w:separator/>
      </w:r>
    </w:p>
  </w:endnote>
  <w:endnote w:type="continuationSeparator" w:id="0">
    <w:p w14:paraId="05F21220" w14:textId="77777777" w:rsidR="00F33494" w:rsidRDefault="00F33494" w:rsidP="00F33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052429"/>
      <w:docPartObj>
        <w:docPartGallery w:val="Page Numbers (Bottom of Page)"/>
        <w:docPartUnique/>
      </w:docPartObj>
    </w:sdtPr>
    <w:sdtEndPr/>
    <w:sdtContent>
      <w:p w14:paraId="4DCC5A94" w14:textId="247E2052" w:rsidR="00F33494" w:rsidRDefault="00F33494">
        <w:pPr>
          <w:pStyle w:val="ae"/>
          <w:jc w:val="right"/>
        </w:pPr>
        <w:r>
          <w:fldChar w:fldCharType="begin"/>
        </w:r>
        <w:r>
          <w:instrText>PAGE   \* MERGEFORMAT</w:instrText>
        </w:r>
        <w:r>
          <w:fldChar w:fldCharType="separate"/>
        </w:r>
        <w:r w:rsidR="0056475F">
          <w:rPr>
            <w:noProof/>
          </w:rPr>
          <w:t>5</w:t>
        </w:r>
        <w:r>
          <w:fldChar w:fldCharType="end"/>
        </w:r>
      </w:p>
    </w:sdtContent>
  </w:sdt>
  <w:p w14:paraId="6BE4236D" w14:textId="77777777" w:rsidR="00F33494" w:rsidRDefault="00F3349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A84FF" w14:textId="77777777" w:rsidR="00F33494" w:rsidRDefault="00F33494" w:rsidP="00F33494">
      <w:pPr>
        <w:spacing w:after="0" w:line="240" w:lineRule="auto"/>
      </w:pPr>
      <w:r>
        <w:separator/>
      </w:r>
    </w:p>
  </w:footnote>
  <w:footnote w:type="continuationSeparator" w:id="0">
    <w:p w14:paraId="6C6A8271" w14:textId="77777777" w:rsidR="00F33494" w:rsidRDefault="00F33494" w:rsidP="00F334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5869"/>
    <w:multiLevelType w:val="multilevel"/>
    <w:tmpl w:val="E27C57B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587B8D"/>
    <w:multiLevelType w:val="hybridMultilevel"/>
    <w:tmpl w:val="349A71DC"/>
    <w:lvl w:ilvl="0" w:tplc="D540A48A">
      <w:start w:val="1"/>
      <w:numFmt w:val="decimal"/>
      <w:lvlText w:val="1.%1."/>
      <w:lvlJc w:val="left"/>
      <w:pPr>
        <w:ind w:left="720" w:hanging="360"/>
      </w:pPr>
      <w:rPr>
        <w:rFonts w:hint="default"/>
        <w:b w:val="0"/>
        <w:color w:val="0033CC"/>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6B4F60"/>
    <w:multiLevelType w:val="multilevel"/>
    <w:tmpl w:val="EA80D6AE"/>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794D45"/>
    <w:multiLevelType w:val="hybridMultilevel"/>
    <w:tmpl w:val="4DECC3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B07F1D"/>
    <w:multiLevelType w:val="hybridMultilevel"/>
    <w:tmpl w:val="BA8C36B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E075A5"/>
    <w:multiLevelType w:val="hybridMultilevel"/>
    <w:tmpl w:val="C1267060"/>
    <w:lvl w:ilvl="0" w:tplc="88304478">
      <w:start w:val="1"/>
      <w:numFmt w:val="decimal"/>
      <w:lvlText w:val="2.%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D40EBC"/>
    <w:multiLevelType w:val="hybridMultilevel"/>
    <w:tmpl w:val="2EEA5312"/>
    <w:lvl w:ilvl="0" w:tplc="07D244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251579"/>
    <w:multiLevelType w:val="hybridMultilevel"/>
    <w:tmpl w:val="0BF62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F3B77"/>
    <w:multiLevelType w:val="hybridMultilevel"/>
    <w:tmpl w:val="FF9249C6"/>
    <w:lvl w:ilvl="0" w:tplc="99BC2A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4C00A7"/>
    <w:multiLevelType w:val="hybridMultilevel"/>
    <w:tmpl w:val="CBC84D1A"/>
    <w:lvl w:ilvl="0" w:tplc="9E1C2D2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741EBF"/>
    <w:multiLevelType w:val="multilevel"/>
    <w:tmpl w:val="553E8C4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200CCD"/>
    <w:multiLevelType w:val="hybridMultilevel"/>
    <w:tmpl w:val="69488D1E"/>
    <w:lvl w:ilvl="0" w:tplc="044AF14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283385"/>
    <w:multiLevelType w:val="hybridMultilevel"/>
    <w:tmpl w:val="52D0739E"/>
    <w:lvl w:ilvl="0" w:tplc="EA8A4494">
      <w:start w:val="1"/>
      <w:numFmt w:val="decimal"/>
      <w:lvlText w:val="3.%1."/>
      <w:lvlJc w:val="left"/>
      <w:pPr>
        <w:ind w:left="720" w:hanging="360"/>
      </w:pPr>
      <w:rPr>
        <w:rFonts w:hint="default"/>
        <w:b w:val="0"/>
        <w:color w:val="0033CC"/>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587EC7"/>
    <w:multiLevelType w:val="hybridMultilevel"/>
    <w:tmpl w:val="5BA43EEA"/>
    <w:lvl w:ilvl="0" w:tplc="F93C3864">
      <w:start w:val="1"/>
      <w:numFmt w:val="decimal"/>
      <w:lvlText w:val="3.%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D358E4"/>
    <w:multiLevelType w:val="multilevel"/>
    <w:tmpl w:val="FAAAD88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28D06B9A"/>
    <w:multiLevelType w:val="hybridMultilevel"/>
    <w:tmpl w:val="88883DA4"/>
    <w:lvl w:ilvl="0" w:tplc="EA8A4494">
      <w:start w:val="1"/>
      <w:numFmt w:val="decimal"/>
      <w:lvlText w:val="3.%1."/>
      <w:lvlJc w:val="left"/>
      <w:pPr>
        <w:ind w:left="720" w:hanging="360"/>
      </w:pPr>
      <w:rPr>
        <w:rFonts w:hint="default"/>
        <w:b w:val="0"/>
        <w:color w:val="0033CC"/>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87481E"/>
    <w:multiLevelType w:val="hybridMultilevel"/>
    <w:tmpl w:val="E2EAC0C4"/>
    <w:lvl w:ilvl="0" w:tplc="C584D252">
      <w:start w:val="1"/>
      <w:numFmt w:val="decimal"/>
      <w:lvlText w:val="5.%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961036"/>
    <w:multiLevelType w:val="hybridMultilevel"/>
    <w:tmpl w:val="4CC0C9EA"/>
    <w:lvl w:ilvl="0" w:tplc="EA8A4494">
      <w:start w:val="1"/>
      <w:numFmt w:val="decimal"/>
      <w:lvlText w:val="3.%1."/>
      <w:lvlJc w:val="left"/>
      <w:pPr>
        <w:ind w:left="720" w:hanging="360"/>
      </w:pPr>
      <w:rPr>
        <w:rFonts w:hint="default"/>
        <w:b w:val="0"/>
        <w:color w:val="0033CC"/>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D33E1F"/>
    <w:multiLevelType w:val="hybridMultilevel"/>
    <w:tmpl w:val="56CAFE3C"/>
    <w:lvl w:ilvl="0" w:tplc="F44498D2">
      <w:start w:val="1"/>
      <w:numFmt w:val="lowerLetter"/>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BD6C10"/>
    <w:multiLevelType w:val="hybridMultilevel"/>
    <w:tmpl w:val="E29AD174"/>
    <w:lvl w:ilvl="0" w:tplc="00449754">
      <w:start w:val="1"/>
      <w:numFmt w:val="decimal"/>
      <w:lvlText w:val="4.%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505E40"/>
    <w:multiLevelType w:val="hybridMultilevel"/>
    <w:tmpl w:val="EE94610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B85FEA"/>
    <w:multiLevelType w:val="multilevel"/>
    <w:tmpl w:val="B0AE7F8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6E7C5E"/>
    <w:multiLevelType w:val="hybridMultilevel"/>
    <w:tmpl w:val="FC72443A"/>
    <w:lvl w:ilvl="0" w:tplc="EA8A4494">
      <w:start w:val="1"/>
      <w:numFmt w:val="decimal"/>
      <w:lvlText w:val="3.%1."/>
      <w:lvlJc w:val="left"/>
      <w:pPr>
        <w:ind w:left="825" w:hanging="360"/>
      </w:pPr>
      <w:rPr>
        <w:rFonts w:hint="default"/>
        <w:b w:val="0"/>
        <w:color w:val="0033CC"/>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3" w15:restartNumberingAfterBreak="0">
    <w:nsid w:val="53C5615D"/>
    <w:multiLevelType w:val="hybridMultilevel"/>
    <w:tmpl w:val="EC5061C0"/>
    <w:lvl w:ilvl="0" w:tplc="EA8A4494">
      <w:start w:val="1"/>
      <w:numFmt w:val="decimal"/>
      <w:lvlText w:val="3.%1."/>
      <w:lvlJc w:val="left"/>
      <w:pPr>
        <w:ind w:left="720" w:hanging="360"/>
      </w:pPr>
      <w:rPr>
        <w:rFonts w:hint="default"/>
        <w:b w:val="0"/>
        <w:color w:val="0033CC"/>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1C3B5B"/>
    <w:multiLevelType w:val="hybridMultilevel"/>
    <w:tmpl w:val="AEE64310"/>
    <w:lvl w:ilvl="0" w:tplc="D540A48A">
      <w:start w:val="1"/>
      <w:numFmt w:val="decimal"/>
      <w:lvlText w:val="1.%1."/>
      <w:lvlJc w:val="left"/>
      <w:pPr>
        <w:ind w:left="720" w:hanging="360"/>
      </w:pPr>
      <w:rPr>
        <w:rFonts w:hint="default"/>
        <w:b w:val="0"/>
        <w:color w:val="0033CC"/>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521119"/>
    <w:multiLevelType w:val="hybridMultilevel"/>
    <w:tmpl w:val="63B0CC0E"/>
    <w:lvl w:ilvl="0" w:tplc="D18A5246">
      <w:start w:val="1"/>
      <w:numFmt w:val="decimal"/>
      <w:lvlText w:val="1.%1."/>
      <w:lvlJc w:val="left"/>
      <w:pPr>
        <w:ind w:left="2160" w:hanging="360"/>
      </w:pPr>
      <w:rPr>
        <w:rFonts w:hint="default"/>
        <w:b w:val="0"/>
        <w:color w:val="auto"/>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6AD53AF5"/>
    <w:multiLevelType w:val="hybridMultilevel"/>
    <w:tmpl w:val="126044F8"/>
    <w:lvl w:ilvl="0" w:tplc="EA8A4494">
      <w:start w:val="1"/>
      <w:numFmt w:val="decimal"/>
      <w:lvlText w:val="3.%1."/>
      <w:lvlJc w:val="left"/>
      <w:pPr>
        <w:ind w:left="780" w:hanging="360"/>
      </w:pPr>
      <w:rPr>
        <w:rFonts w:hint="default"/>
        <w:b w:val="0"/>
        <w:color w:val="0033CC"/>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7" w15:restartNumberingAfterBreak="0">
    <w:nsid w:val="6C485A08"/>
    <w:multiLevelType w:val="hybridMultilevel"/>
    <w:tmpl w:val="659A3FD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8209D3"/>
    <w:multiLevelType w:val="hybridMultilevel"/>
    <w:tmpl w:val="1AD6F804"/>
    <w:lvl w:ilvl="0" w:tplc="99BC2A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0"/>
  </w:num>
  <w:num w:numId="4">
    <w:abstractNumId w:val="5"/>
  </w:num>
  <w:num w:numId="5">
    <w:abstractNumId w:val="1"/>
  </w:num>
  <w:num w:numId="6">
    <w:abstractNumId w:val="24"/>
  </w:num>
  <w:num w:numId="7">
    <w:abstractNumId w:val="0"/>
  </w:num>
  <w:num w:numId="8">
    <w:abstractNumId w:val="25"/>
  </w:num>
  <w:num w:numId="9">
    <w:abstractNumId w:val="13"/>
  </w:num>
  <w:num w:numId="10">
    <w:abstractNumId w:val="18"/>
  </w:num>
  <w:num w:numId="11">
    <w:abstractNumId w:val="17"/>
  </w:num>
  <w:num w:numId="12">
    <w:abstractNumId w:val="26"/>
  </w:num>
  <w:num w:numId="13">
    <w:abstractNumId w:val="28"/>
  </w:num>
  <w:num w:numId="14">
    <w:abstractNumId w:val="22"/>
  </w:num>
  <w:num w:numId="15">
    <w:abstractNumId w:val="12"/>
  </w:num>
  <w:num w:numId="16">
    <w:abstractNumId w:val="4"/>
  </w:num>
  <w:num w:numId="17">
    <w:abstractNumId w:val="3"/>
  </w:num>
  <w:num w:numId="18">
    <w:abstractNumId w:val="27"/>
  </w:num>
  <w:num w:numId="19">
    <w:abstractNumId w:val="23"/>
  </w:num>
  <w:num w:numId="20">
    <w:abstractNumId w:val="2"/>
  </w:num>
  <w:num w:numId="21">
    <w:abstractNumId w:val="8"/>
  </w:num>
  <w:num w:numId="22">
    <w:abstractNumId w:val="16"/>
  </w:num>
  <w:num w:numId="23">
    <w:abstractNumId w:val="19"/>
  </w:num>
  <w:num w:numId="24">
    <w:abstractNumId w:val="21"/>
  </w:num>
  <w:num w:numId="25">
    <w:abstractNumId w:val="9"/>
  </w:num>
  <w:num w:numId="26">
    <w:abstractNumId w:val="6"/>
  </w:num>
  <w:num w:numId="27">
    <w:abstractNumId w:val="14"/>
  </w:num>
  <w:num w:numId="28">
    <w:abstractNumId w:val="1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927"/>
    <w:rsid w:val="00013348"/>
    <w:rsid w:val="00016C3F"/>
    <w:rsid w:val="000B7381"/>
    <w:rsid w:val="0010780D"/>
    <w:rsid w:val="00135541"/>
    <w:rsid w:val="00141551"/>
    <w:rsid w:val="001657F0"/>
    <w:rsid w:val="001A35A2"/>
    <w:rsid w:val="001E52A4"/>
    <w:rsid w:val="00236FFF"/>
    <w:rsid w:val="00286E25"/>
    <w:rsid w:val="00321353"/>
    <w:rsid w:val="00321F4D"/>
    <w:rsid w:val="00346A1F"/>
    <w:rsid w:val="003959AE"/>
    <w:rsid w:val="003A0C58"/>
    <w:rsid w:val="003D2901"/>
    <w:rsid w:val="00416F2A"/>
    <w:rsid w:val="00443245"/>
    <w:rsid w:val="00460C45"/>
    <w:rsid w:val="004C0C5C"/>
    <w:rsid w:val="004E0223"/>
    <w:rsid w:val="004F2CDB"/>
    <w:rsid w:val="005045CE"/>
    <w:rsid w:val="00524FA2"/>
    <w:rsid w:val="00530A15"/>
    <w:rsid w:val="00543E5C"/>
    <w:rsid w:val="0056475F"/>
    <w:rsid w:val="00572E2D"/>
    <w:rsid w:val="005C06EB"/>
    <w:rsid w:val="005D7C72"/>
    <w:rsid w:val="005E2A2C"/>
    <w:rsid w:val="006102D9"/>
    <w:rsid w:val="0061545C"/>
    <w:rsid w:val="00620927"/>
    <w:rsid w:val="006724F9"/>
    <w:rsid w:val="00687F43"/>
    <w:rsid w:val="00694874"/>
    <w:rsid w:val="00694C1E"/>
    <w:rsid w:val="006E196D"/>
    <w:rsid w:val="006E1AD7"/>
    <w:rsid w:val="0072650C"/>
    <w:rsid w:val="00732DF3"/>
    <w:rsid w:val="00776594"/>
    <w:rsid w:val="00821B08"/>
    <w:rsid w:val="00856252"/>
    <w:rsid w:val="0085696E"/>
    <w:rsid w:val="00860033"/>
    <w:rsid w:val="00940646"/>
    <w:rsid w:val="00975CFA"/>
    <w:rsid w:val="00976360"/>
    <w:rsid w:val="009C0CF0"/>
    <w:rsid w:val="009D475D"/>
    <w:rsid w:val="009F5573"/>
    <w:rsid w:val="009F592D"/>
    <w:rsid w:val="00A27CFC"/>
    <w:rsid w:val="00A4578B"/>
    <w:rsid w:val="00AA441E"/>
    <w:rsid w:val="00AD6E6C"/>
    <w:rsid w:val="00AE6798"/>
    <w:rsid w:val="00B43921"/>
    <w:rsid w:val="00B82DBE"/>
    <w:rsid w:val="00BC6425"/>
    <w:rsid w:val="00C57982"/>
    <w:rsid w:val="00C6275D"/>
    <w:rsid w:val="00CD30B9"/>
    <w:rsid w:val="00D069B7"/>
    <w:rsid w:val="00D35217"/>
    <w:rsid w:val="00D36F53"/>
    <w:rsid w:val="00D54A17"/>
    <w:rsid w:val="00D67627"/>
    <w:rsid w:val="00D85F7A"/>
    <w:rsid w:val="00D93D8B"/>
    <w:rsid w:val="00DC7EA7"/>
    <w:rsid w:val="00E043B7"/>
    <w:rsid w:val="00E42187"/>
    <w:rsid w:val="00E831AD"/>
    <w:rsid w:val="00EA7DF3"/>
    <w:rsid w:val="00ED63E6"/>
    <w:rsid w:val="00EF386D"/>
    <w:rsid w:val="00F04F66"/>
    <w:rsid w:val="00F17C58"/>
    <w:rsid w:val="00F33494"/>
    <w:rsid w:val="00F60168"/>
    <w:rsid w:val="00FA38F6"/>
    <w:rsid w:val="00FE1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36E5"/>
  <w15:chartTrackingRefBased/>
  <w15:docId w15:val="{F6F2A51A-849B-4C6B-A762-7462D95A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0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0646"/>
    <w:pPr>
      <w:ind w:left="720"/>
      <w:contextualSpacing/>
    </w:pPr>
  </w:style>
  <w:style w:type="character" w:styleId="a5">
    <w:name w:val="annotation reference"/>
    <w:basedOn w:val="a0"/>
    <w:uiPriority w:val="99"/>
    <w:semiHidden/>
    <w:unhideWhenUsed/>
    <w:rsid w:val="005C06EB"/>
    <w:rPr>
      <w:sz w:val="16"/>
      <w:szCs w:val="16"/>
    </w:rPr>
  </w:style>
  <w:style w:type="paragraph" w:styleId="a6">
    <w:name w:val="annotation text"/>
    <w:basedOn w:val="a"/>
    <w:link w:val="a7"/>
    <w:uiPriority w:val="99"/>
    <w:semiHidden/>
    <w:unhideWhenUsed/>
    <w:rsid w:val="005C06EB"/>
    <w:pPr>
      <w:spacing w:line="240" w:lineRule="auto"/>
    </w:pPr>
    <w:rPr>
      <w:sz w:val="20"/>
      <w:szCs w:val="20"/>
    </w:rPr>
  </w:style>
  <w:style w:type="character" w:customStyle="1" w:styleId="a7">
    <w:name w:val="Текст примечания Знак"/>
    <w:basedOn w:val="a0"/>
    <w:link w:val="a6"/>
    <w:uiPriority w:val="99"/>
    <w:semiHidden/>
    <w:rsid w:val="005C06EB"/>
    <w:rPr>
      <w:sz w:val="20"/>
      <w:szCs w:val="20"/>
    </w:rPr>
  </w:style>
  <w:style w:type="paragraph" w:styleId="a8">
    <w:name w:val="annotation subject"/>
    <w:basedOn w:val="a6"/>
    <w:next w:val="a6"/>
    <w:link w:val="a9"/>
    <w:uiPriority w:val="99"/>
    <w:semiHidden/>
    <w:unhideWhenUsed/>
    <w:rsid w:val="005C06EB"/>
    <w:rPr>
      <w:b/>
      <w:bCs/>
    </w:rPr>
  </w:style>
  <w:style w:type="character" w:customStyle="1" w:styleId="a9">
    <w:name w:val="Тема примечания Знак"/>
    <w:basedOn w:val="a7"/>
    <w:link w:val="a8"/>
    <w:uiPriority w:val="99"/>
    <w:semiHidden/>
    <w:rsid w:val="005C06EB"/>
    <w:rPr>
      <w:b/>
      <w:bCs/>
      <w:sz w:val="20"/>
      <w:szCs w:val="20"/>
    </w:rPr>
  </w:style>
  <w:style w:type="paragraph" w:styleId="aa">
    <w:name w:val="Balloon Text"/>
    <w:basedOn w:val="a"/>
    <w:link w:val="ab"/>
    <w:uiPriority w:val="99"/>
    <w:semiHidden/>
    <w:unhideWhenUsed/>
    <w:rsid w:val="005C06E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C06EB"/>
    <w:rPr>
      <w:rFonts w:ascii="Segoe UI" w:hAnsi="Segoe UI" w:cs="Segoe UI"/>
      <w:sz w:val="18"/>
      <w:szCs w:val="18"/>
    </w:rPr>
  </w:style>
  <w:style w:type="paragraph" w:styleId="ac">
    <w:name w:val="header"/>
    <w:basedOn w:val="a"/>
    <w:link w:val="ad"/>
    <w:uiPriority w:val="99"/>
    <w:unhideWhenUsed/>
    <w:rsid w:val="00F3349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33494"/>
  </w:style>
  <w:style w:type="paragraph" w:styleId="ae">
    <w:name w:val="footer"/>
    <w:basedOn w:val="a"/>
    <w:link w:val="af"/>
    <w:uiPriority w:val="99"/>
    <w:unhideWhenUsed/>
    <w:rsid w:val="00F3349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33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94A3D-0ADE-46D3-8FF4-4BCE5E559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1593</Words>
  <Characters>9086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Мохначевская Евдокия Семеновна</dc:creator>
  <cp:keywords/>
  <dc:description/>
  <cp:lastModifiedBy>Мохначевская Евдокия Семеновна</cp:lastModifiedBy>
  <cp:revision>36</cp:revision>
  <dcterms:created xsi:type="dcterms:W3CDTF">2020-05-07T01:57:00Z</dcterms:created>
  <dcterms:modified xsi:type="dcterms:W3CDTF">2021-12-28T00:28:00Z</dcterms:modified>
</cp:coreProperties>
</file>